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57D663E">
      <w:pPr>
        <w:pStyle w:val="2"/>
        <w:pageBreakBefore w:val="0"/>
        <w:widowControl w:val="0"/>
        <w:kinsoku/>
        <w:wordWrap/>
        <w:overflowPunct/>
        <w:topLinePunct w:val="0"/>
        <w:autoSpaceDE/>
        <w:autoSpaceDN/>
        <w:bidi w:val="0"/>
        <w:adjustRightInd w:val="0"/>
        <w:snapToGrid w:val="0"/>
        <w:spacing w:before="120" w:after="0" w:line="560" w:lineRule="exact"/>
        <w:jc w:val="center"/>
        <w:textAlignment w:val="auto"/>
        <w:outlineLvl w:val="0"/>
        <w:rPr>
          <w:color w:val="auto"/>
        </w:rPr>
      </w:pPr>
      <w:bookmarkStart w:id="0" w:name="_Toc254970490"/>
      <w:bookmarkStart w:id="1" w:name="_Toc254970631"/>
      <w:r>
        <w:rPr>
          <w:rFonts w:hint="eastAsia"/>
          <w:color w:val="auto"/>
          <w:lang w:val="en-US" w:eastAsia="zh-CN"/>
        </w:rPr>
        <w:t>广西医科大学附属武鸣医院食堂</w:t>
      </w:r>
      <w:r>
        <w:rPr>
          <w:rFonts w:hint="eastAsia" w:asciiTheme="majorEastAsia" w:hAnsiTheme="majorEastAsia" w:eastAsiaTheme="majorEastAsia" w:cstheme="majorEastAsia"/>
          <w:b/>
          <w:bCs w:val="0"/>
          <w:kern w:val="2"/>
          <w:sz w:val="44"/>
          <w:szCs w:val="44"/>
          <w:lang w:val="en-US" w:eastAsia="zh-CN" w:bidi="ar-SA"/>
        </w:rPr>
        <w:t>社会化合作经营</w:t>
      </w:r>
      <w:r>
        <w:rPr>
          <w:rFonts w:hint="eastAsia"/>
          <w:color w:val="auto"/>
          <w:lang w:val="en-US" w:eastAsia="zh-CN"/>
        </w:rPr>
        <w:t>项目采购需求</w:t>
      </w:r>
    </w:p>
    <w:p w14:paraId="42AA638C">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43" w:firstLineChars="200"/>
        <w:textAlignment w:val="auto"/>
        <w:rPr>
          <w:rFonts w:hint="eastAsia" w:ascii="仿宋_GB2312" w:hAnsi="仿宋_GB2312" w:eastAsia="仿宋_GB2312" w:cs="仿宋_GB2312"/>
          <w:b/>
          <w:bCs w:val="0"/>
          <w:color w:val="auto"/>
          <w:kern w:val="2"/>
          <w:sz w:val="32"/>
          <w:szCs w:val="32"/>
          <w:lang w:val="en-US" w:eastAsia="zh-CN" w:bidi="ar-SA"/>
        </w:rPr>
      </w:pPr>
    </w:p>
    <w:p w14:paraId="0C2E9EA9">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43" w:firstLineChars="200"/>
        <w:textAlignment w:val="auto"/>
        <w:rPr>
          <w:rFonts w:hint="eastAsia" w:ascii="仿宋_GB2312" w:hAnsi="仿宋_GB2312" w:eastAsia="仿宋_GB2312" w:cs="仿宋_GB2312"/>
          <w:b/>
          <w:bCs w:val="0"/>
          <w:color w:val="auto"/>
          <w:sz w:val="32"/>
          <w:szCs w:val="32"/>
        </w:rPr>
      </w:pPr>
      <w:r>
        <w:rPr>
          <w:rFonts w:hint="eastAsia" w:ascii="仿宋_GB2312" w:hAnsi="仿宋_GB2312" w:eastAsia="仿宋_GB2312" w:cs="仿宋_GB2312"/>
          <w:b/>
          <w:bCs w:val="0"/>
          <w:color w:val="auto"/>
          <w:kern w:val="2"/>
          <w:sz w:val="32"/>
          <w:szCs w:val="32"/>
          <w:lang w:val="en-US" w:eastAsia="zh-CN" w:bidi="ar-SA"/>
        </w:rPr>
        <w:t>一、</w:t>
      </w:r>
      <w:r>
        <w:rPr>
          <w:rFonts w:hint="eastAsia" w:ascii="仿宋_GB2312" w:hAnsi="仿宋_GB2312" w:eastAsia="仿宋_GB2312" w:cs="仿宋_GB2312"/>
          <w:b/>
          <w:bCs w:val="0"/>
          <w:color w:val="auto"/>
          <w:sz w:val="32"/>
          <w:szCs w:val="32"/>
          <w:lang w:val="en-US" w:eastAsia="zh-CN"/>
        </w:rPr>
        <w:t>项目</w:t>
      </w:r>
      <w:r>
        <w:rPr>
          <w:rFonts w:hint="eastAsia" w:ascii="仿宋_GB2312" w:hAnsi="仿宋_GB2312" w:eastAsia="仿宋_GB2312" w:cs="仿宋_GB2312"/>
          <w:b/>
          <w:bCs w:val="0"/>
          <w:color w:val="auto"/>
          <w:sz w:val="32"/>
          <w:szCs w:val="32"/>
        </w:rPr>
        <w:t>概况</w:t>
      </w:r>
    </w:p>
    <w:p w14:paraId="7A6C5762">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仿宋_GB2312" w:eastAsia="仿宋_GB2312" w:cs="仿宋_GB2312"/>
          <w:b w:val="0"/>
          <w:bCs/>
          <w:color w:val="auto"/>
          <w:sz w:val="32"/>
          <w:szCs w:val="32"/>
        </w:rPr>
      </w:pPr>
      <w:r>
        <w:rPr>
          <w:rFonts w:hint="eastAsia" w:ascii="仿宋_GB2312" w:hAnsi="仿宋_GB2312" w:eastAsia="仿宋_GB2312" w:cs="仿宋_GB2312"/>
          <w:b w:val="0"/>
          <w:bCs/>
          <w:color w:val="auto"/>
          <w:sz w:val="32"/>
          <w:szCs w:val="32"/>
        </w:rPr>
        <w:t>广西医科大学附属武鸣医院是南宁市武鸣区及周边区域医疗服务中心，为集医疗、教学、科研、预防保健、急诊急救于一体的三级甲等综合医院。医院开放床位1168张，设有临床科室44个、医技科室10个</w:t>
      </w:r>
      <w:r>
        <w:rPr>
          <w:rFonts w:hint="eastAsia" w:ascii="仿宋_GB2312" w:hAnsi="仿宋_GB2312" w:eastAsia="仿宋_GB2312" w:cs="仿宋_GB2312"/>
          <w:b w:val="0"/>
          <w:bCs/>
          <w:color w:val="auto"/>
          <w:sz w:val="32"/>
          <w:szCs w:val="32"/>
          <w:lang w:eastAsia="zh-CN"/>
        </w:rPr>
        <w:t>、</w:t>
      </w:r>
      <w:r>
        <w:rPr>
          <w:rFonts w:hint="eastAsia" w:ascii="仿宋_GB2312" w:hAnsi="仿宋_GB2312" w:eastAsia="仿宋_GB2312" w:cs="仿宋_GB2312"/>
          <w:b w:val="0"/>
          <w:bCs/>
          <w:color w:val="auto"/>
          <w:sz w:val="32"/>
          <w:szCs w:val="32"/>
        </w:rPr>
        <w:t>目前医院在职职工16</w:t>
      </w:r>
      <w:r>
        <w:rPr>
          <w:rFonts w:hint="eastAsia" w:ascii="仿宋_GB2312" w:hAnsi="仿宋_GB2312" w:eastAsia="仿宋_GB2312" w:cs="仿宋_GB2312"/>
          <w:b w:val="0"/>
          <w:bCs/>
          <w:color w:val="auto"/>
          <w:sz w:val="32"/>
          <w:szCs w:val="32"/>
          <w:lang w:val="en-US" w:eastAsia="zh-CN"/>
        </w:rPr>
        <w:t>8</w:t>
      </w:r>
      <w:r>
        <w:rPr>
          <w:rFonts w:hint="eastAsia" w:ascii="仿宋_GB2312" w:hAnsi="仿宋_GB2312" w:eastAsia="仿宋_GB2312" w:cs="仿宋_GB2312"/>
          <w:b w:val="0"/>
          <w:bCs/>
          <w:color w:val="auto"/>
          <w:sz w:val="32"/>
          <w:szCs w:val="32"/>
        </w:rPr>
        <w:t>7人。结合医院职工、住院患者及陪护人员就餐需求，</w:t>
      </w:r>
      <w:r>
        <w:rPr>
          <w:rFonts w:hint="eastAsia" w:ascii="仿宋_GB2312" w:hAnsi="仿宋_GB2312" w:eastAsia="仿宋_GB2312" w:cs="仿宋_GB2312"/>
          <w:b w:val="0"/>
          <w:bCs/>
          <w:color w:val="auto"/>
          <w:sz w:val="32"/>
          <w:szCs w:val="32"/>
          <w:lang w:val="en-US" w:eastAsia="zh-CN"/>
        </w:rPr>
        <w:t>引进</w:t>
      </w:r>
      <w:r>
        <w:rPr>
          <w:rFonts w:hint="eastAsia" w:ascii="仿宋_GB2312" w:hAnsi="仿宋_GB2312" w:eastAsia="仿宋_GB2312" w:cs="仿宋_GB2312"/>
          <w:b w:val="0"/>
          <w:bCs/>
          <w:color w:val="auto"/>
          <w:sz w:val="32"/>
          <w:szCs w:val="32"/>
        </w:rPr>
        <w:t>一家</w:t>
      </w:r>
      <w:r>
        <w:rPr>
          <w:rFonts w:hint="eastAsia" w:ascii="仿宋_GB2312" w:hAnsi="仿宋_GB2312" w:eastAsia="仿宋_GB2312" w:cs="仿宋_GB2312"/>
          <w:b w:val="0"/>
          <w:bCs/>
          <w:color w:val="auto"/>
          <w:sz w:val="32"/>
          <w:szCs w:val="32"/>
          <w:lang w:val="en-US" w:eastAsia="zh-CN"/>
        </w:rPr>
        <w:t>服务商</w:t>
      </w:r>
      <w:r>
        <w:rPr>
          <w:rFonts w:hint="eastAsia" w:ascii="仿宋_GB2312" w:hAnsi="仿宋_GB2312" w:eastAsia="仿宋_GB2312" w:cs="仿宋_GB2312"/>
          <w:b w:val="0"/>
          <w:bCs/>
          <w:color w:val="auto"/>
          <w:sz w:val="32"/>
          <w:szCs w:val="32"/>
        </w:rPr>
        <w:t>，负责医院</w:t>
      </w:r>
      <w:r>
        <w:rPr>
          <w:rFonts w:hint="eastAsia" w:ascii="仿宋_GB2312" w:hAnsi="仿宋_GB2312" w:eastAsia="仿宋_GB2312" w:cs="仿宋_GB2312"/>
          <w:b w:val="0"/>
          <w:bCs/>
          <w:color w:val="auto"/>
          <w:sz w:val="32"/>
          <w:szCs w:val="32"/>
          <w:lang w:val="en-US" w:eastAsia="zh-CN"/>
        </w:rPr>
        <w:t>供餐</w:t>
      </w:r>
      <w:r>
        <w:rPr>
          <w:rFonts w:hint="eastAsia" w:ascii="仿宋_GB2312" w:hAnsi="仿宋_GB2312" w:eastAsia="仿宋_GB2312" w:cs="仿宋_GB2312"/>
          <w:b w:val="0"/>
          <w:bCs/>
          <w:color w:val="auto"/>
          <w:sz w:val="32"/>
          <w:szCs w:val="32"/>
        </w:rPr>
        <w:t>及便民配套服务。</w:t>
      </w:r>
    </w:p>
    <w:p w14:paraId="2653AEA3">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仿宋_GB2312" w:eastAsia="仿宋_GB2312" w:cs="仿宋_GB2312"/>
          <w:b w:val="0"/>
          <w:bCs/>
          <w:color w:val="auto"/>
          <w:sz w:val="32"/>
          <w:szCs w:val="32"/>
          <w:lang w:val="en-US" w:eastAsia="zh-CN"/>
        </w:rPr>
      </w:pPr>
      <w:r>
        <w:rPr>
          <w:rFonts w:hint="eastAsia" w:ascii="仿宋_GB2312" w:hAnsi="仿宋_GB2312" w:eastAsia="仿宋_GB2312" w:cs="仿宋_GB2312"/>
          <w:b w:val="0"/>
          <w:bCs/>
          <w:color w:val="auto"/>
          <w:sz w:val="32"/>
          <w:szCs w:val="32"/>
        </w:rPr>
        <w:t>本项目为</w:t>
      </w:r>
      <w:r>
        <w:rPr>
          <w:rFonts w:hint="eastAsia" w:ascii="仿宋_GB2312" w:hAnsi="仿宋_GB2312" w:eastAsia="仿宋_GB2312" w:cs="仿宋_GB2312"/>
          <w:b w:val="0"/>
          <w:bCs/>
          <w:color w:val="auto"/>
          <w:sz w:val="32"/>
          <w:szCs w:val="32"/>
          <w:lang w:val="en-US" w:eastAsia="zh-CN"/>
        </w:rPr>
        <w:t>食堂社会化合作经营项目</w:t>
      </w:r>
      <w:r>
        <w:rPr>
          <w:rFonts w:hint="eastAsia" w:ascii="仿宋_GB2312" w:hAnsi="仿宋_GB2312" w:eastAsia="仿宋_GB2312" w:cs="仿宋_GB2312"/>
          <w:b w:val="0"/>
          <w:bCs/>
          <w:color w:val="auto"/>
          <w:sz w:val="32"/>
          <w:szCs w:val="32"/>
        </w:rPr>
        <w:t>，经营场所位于医院院区外、医院周边约</w:t>
      </w:r>
      <w:r>
        <w:rPr>
          <w:rFonts w:hint="eastAsia" w:ascii="仿宋_GB2312" w:hAnsi="仿宋_GB2312" w:eastAsia="仿宋_GB2312" w:cs="仿宋_GB2312"/>
          <w:b w:val="0"/>
          <w:bCs/>
          <w:color w:val="auto"/>
          <w:sz w:val="32"/>
          <w:szCs w:val="32"/>
          <w:lang w:val="en-US" w:eastAsia="zh-CN"/>
        </w:rPr>
        <w:t>200</w:t>
      </w:r>
      <w:r>
        <w:rPr>
          <w:rFonts w:hint="eastAsia" w:ascii="仿宋_GB2312" w:hAnsi="仿宋_GB2312" w:eastAsia="仿宋_GB2312" w:cs="仿宋_GB2312"/>
          <w:b w:val="0"/>
          <w:bCs/>
          <w:color w:val="auto"/>
          <w:sz w:val="32"/>
          <w:szCs w:val="32"/>
        </w:rPr>
        <w:t>米范围内，由</w:t>
      </w:r>
      <w:r>
        <w:rPr>
          <w:rFonts w:hint="eastAsia" w:ascii="仿宋_GB2312" w:hAnsi="仿宋_GB2312" w:eastAsia="仿宋_GB2312" w:cs="仿宋_GB2312"/>
          <w:b w:val="0"/>
          <w:bCs/>
          <w:color w:val="auto"/>
          <w:sz w:val="32"/>
          <w:szCs w:val="32"/>
          <w:lang w:eastAsia="zh-CN"/>
        </w:rPr>
        <w:t>服务商</w:t>
      </w:r>
      <w:r>
        <w:rPr>
          <w:rFonts w:hint="eastAsia" w:ascii="仿宋_GB2312" w:hAnsi="仿宋_GB2312" w:eastAsia="仿宋_GB2312" w:cs="仿宋_GB2312"/>
          <w:b w:val="0"/>
          <w:bCs/>
          <w:color w:val="auto"/>
          <w:sz w:val="32"/>
          <w:szCs w:val="32"/>
        </w:rPr>
        <w:t>自行落实符合要求的经营场地，并负责场地租赁、装修改造、设备购置、经营管理、食品安全、人员管理、供餐配送及</w:t>
      </w:r>
      <w:r>
        <w:rPr>
          <w:rFonts w:hint="eastAsia" w:ascii="仿宋_GB2312" w:hAnsi="仿宋_GB2312" w:eastAsia="仿宋_GB2312" w:cs="仿宋_GB2312"/>
          <w:b w:val="0"/>
          <w:bCs/>
          <w:color w:val="auto"/>
          <w:sz w:val="32"/>
          <w:szCs w:val="32"/>
          <w:lang w:eastAsia="zh-CN"/>
        </w:rPr>
        <w:t>小卖部</w:t>
      </w:r>
      <w:r>
        <w:rPr>
          <w:rFonts w:hint="eastAsia" w:ascii="仿宋_GB2312" w:hAnsi="仿宋_GB2312" w:eastAsia="仿宋_GB2312" w:cs="仿宋_GB2312"/>
          <w:b w:val="0"/>
          <w:bCs/>
          <w:color w:val="auto"/>
          <w:sz w:val="32"/>
          <w:szCs w:val="32"/>
        </w:rPr>
        <w:t>运营等全部工作。</w:t>
      </w:r>
      <w:r>
        <w:rPr>
          <w:rFonts w:hint="eastAsia" w:ascii="仿宋_GB2312" w:hAnsi="仿宋_GB2312" w:eastAsia="仿宋_GB2312" w:cs="仿宋_GB2312"/>
          <w:b w:val="0"/>
          <w:bCs/>
          <w:color w:val="auto"/>
          <w:sz w:val="32"/>
          <w:szCs w:val="32"/>
          <w:lang w:eastAsia="zh-CN"/>
        </w:rPr>
        <w:t>服务商</w:t>
      </w:r>
      <w:r>
        <w:rPr>
          <w:rFonts w:hint="eastAsia" w:ascii="仿宋_GB2312" w:hAnsi="仿宋_GB2312" w:eastAsia="仿宋_GB2312" w:cs="仿宋_GB2312"/>
          <w:b w:val="0"/>
          <w:bCs/>
          <w:color w:val="auto"/>
          <w:sz w:val="32"/>
          <w:szCs w:val="32"/>
        </w:rPr>
        <w:t>须确保该场所满足医院职工、住院患者及陪护人员的就餐、购物及配送服务需求。</w:t>
      </w:r>
    </w:p>
    <w:p w14:paraId="40A5F8B9">
      <w:pPr>
        <w:keepNext w:val="0"/>
        <w:keepLines w:val="0"/>
        <w:pageBreakBefore w:val="0"/>
        <w:widowControl w:val="0"/>
        <w:kinsoku/>
        <w:wordWrap/>
        <w:overflowPunct/>
        <w:topLinePunct w:val="0"/>
        <w:autoSpaceDE/>
        <w:autoSpaceDN/>
        <w:bidi w:val="0"/>
        <w:adjustRightInd/>
        <w:snapToGrid/>
        <w:spacing w:line="560" w:lineRule="exact"/>
        <w:ind w:left="0" w:leftChars="0" w:firstLine="643" w:firstLineChars="200"/>
        <w:textAlignment w:val="auto"/>
        <w:rPr>
          <w:rFonts w:hint="eastAsia" w:ascii="仿宋_GB2312" w:hAnsi="仿宋_GB2312" w:eastAsia="仿宋_GB2312" w:cs="仿宋_GB2312"/>
          <w:b/>
          <w:color w:val="auto"/>
          <w:sz w:val="32"/>
          <w:szCs w:val="32"/>
        </w:rPr>
      </w:pPr>
      <w:r>
        <w:rPr>
          <w:rFonts w:hint="eastAsia" w:ascii="仿宋_GB2312" w:hAnsi="仿宋_GB2312" w:eastAsia="仿宋_GB2312" w:cs="仿宋_GB2312"/>
          <w:b/>
          <w:color w:val="auto"/>
          <w:sz w:val="32"/>
          <w:szCs w:val="32"/>
        </w:rPr>
        <w:t>二、服务内容及要求</w:t>
      </w:r>
    </w:p>
    <w:p w14:paraId="52E3EAF5">
      <w:pPr>
        <w:keepNext w:val="0"/>
        <w:keepLines w:val="0"/>
        <w:pageBreakBefore w:val="0"/>
        <w:widowControl w:val="0"/>
        <w:kinsoku/>
        <w:wordWrap/>
        <w:overflowPunct/>
        <w:topLinePunct w:val="0"/>
        <w:autoSpaceDE/>
        <w:autoSpaceDN/>
        <w:bidi w:val="0"/>
        <w:adjustRightInd/>
        <w:snapToGrid/>
        <w:spacing w:line="560" w:lineRule="exact"/>
        <w:ind w:left="0" w:leftChars="0" w:firstLine="643" w:firstLineChars="200"/>
        <w:textAlignment w:val="auto"/>
        <w:rPr>
          <w:rFonts w:hint="eastAsia" w:ascii="仿宋_GB2312" w:hAnsi="仿宋_GB2312" w:eastAsia="仿宋_GB2312" w:cs="仿宋_GB2312"/>
          <w:b/>
          <w:bCs/>
          <w:color w:val="auto"/>
          <w:sz w:val="32"/>
          <w:szCs w:val="32"/>
          <w:lang w:val="en-US" w:eastAsia="zh-CN"/>
        </w:rPr>
      </w:pPr>
      <w:r>
        <w:rPr>
          <w:rFonts w:hint="eastAsia" w:ascii="仿宋_GB2312" w:hAnsi="仿宋_GB2312" w:eastAsia="仿宋_GB2312" w:cs="仿宋_GB2312"/>
          <w:b/>
          <w:bCs/>
          <w:color w:val="auto"/>
          <w:sz w:val="32"/>
          <w:szCs w:val="32"/>
        </w:rPr>
        <w:t>（一）</w:t>
      </w:r>
      <w:r>
        <w:rPr>
          <w:rFonts w:hint="eastAsia" w:ascii="仿宋_GB2312" w:hAnsi="仿宋_GB2312" w:eastAsia="仿宋_GB2312" w:cs="仿宋_GB2312"/>
          <w:b/>
          <w:bCs/>
          <w:color w:val="auto"/>
          <w:sz w:val="32"/>
          <w:szCs w:val="32"/>
          <w:lang w:val="en-US" w:eastAsia="zh-CN"/>
        </w:rPr>
        <w:t>服务内容</w:t>
      </w:r>
    </w:p>
    <w:p w14:paraId="4ED4277B">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1.</w:t>
      </w:r>
      <w:r>
        <w:rPr>
          <w:rFonts w:hint="eastAsia" w:ascii="仿宋_GB2312" w:hAnsi="仿宋_GB2312" w:eastAsia="仿宋_GB2312" w:cs="仿宋_GB2312"/>
          <w:color w:val="auto"/>
          <w:sz w:val="32"/>
          <w:szCs w:val="32"/>
          <w:lang w:eastAsia="zh-CN"/>
        </w:rPr>
        <w:t>服务商</w:t>
      </w:r>
      <w:r>
        <w:rPr>
          <w:rFonts w:hint="eastAsia" w:ascii="仿宋_GB2312" w:hAnsi="仿宋_GB2312" w:eastAsia="仿宋_GB2312" w:cs="仿宋_GB2312"/>
          <w:color w:val="auto"/>
          <w:sz w:val="32"/>
          <w:szCs w:val="32"/>
        </w:rPr>
        <w:t>负责院外食堂及</w:t>
      </w:r>
      <w:r>
        <w:rPr>
          <w:rFonts w:hint="eastAsia" w:ascii="仿宋_GB2312" w:hAnsi="仿宋_GB2312" w:eastAsia="仿宋_GB2312" w:cs="仿宋_GB2312"/>
          <w:color w:val="auto"/>
          <w:sz w:val="32"/>
          <w:szCs w:val="32"/>
          <w:lang w:val="en-US" w:eastAsia="zh-CN"/>
        </w:rPr>
        <w:t>小卖部</w:t>
      </w:r>
      <w:r>
        <w:rPr>
          <w:rFonts w:hint="eastAsia" w:ascii="仿宋_GB2312" w:hAnsi="仿宋_GB2312" w:eastAsia="仿宋_GB2312" w:cs="仿宋_GB2312"/>
          <w:color w:val="auto"/>
          <w:sz w:val="32"/>
          <w:szCs w:val="32"/>
        </w:rPr>
        <w:t>的整体投资、装修改造、设备购置、经营管理和食品安全管理，为医院职工、住院患者及陪护人员提供餐饮服务和</w:t>
      </w:r>
      <w:r>
        <w:rPr>
          <w:rFonts w:hint="eastAsia" w:ascii="仿宋_GB2312" w:hAnsi="仿宋_GB2312" w:eastAsia="仿宋_GB2312" w:cs="仿宋_GB2312"/>
          <w:color w:val="auto"/>
          <w:sz w:val="32"/>
          <w:szCs w:val="32"/>
          <w:lang w:val="en-US" w:eastAsia="zh-CN"/>
        </w:rPr>
        <w:t>小卖部</w:t>
      </w:r>
      <w:r>
        <w:rPr>
          <w:rFonts w:hint="eastAsia" w:ascii="仿宋_GB2312" w:hAnsi="仿宋_GB2312" w:eastAsia="仿宋_GB2312" w:cs="仿宋_GB2312"/>
          <w:color w:val="auto"/>
          <w:sz w:val="32"/>
          <w:szCs w:val="32"/>
        </w:rPr>
        <w:t>商品供应服务。</w:t>
      </w:r>
    </w:p>
    <w:p w14:paraId="067ACC98">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rPr>
        <w:t>2.</w:t>
      </w:r>
      <w:r>
        <w:rPr>
          <w:rFonts w:hint="eastAsia" w:ascii="仿宋_GB2312" w:hAnsi="仿宋_GB2312" w:eastAsia="仿宋_GB2312" w:cs="仿宋_GB2312"/>
          <w:color w:val="auto"/>
          <w:sz w:val="32"/>
          <w:szCs w:val="32"/>
          <w:lang w:eastAsia="zh-CN"/>
        </w:rPr>
        <w:t>服务商须负责医院门诊一楼指定区域、体检中心的餐食分餐服务，门诊一楼</w:t>
      </w:r>
      <w:r>
        <w:rPr>
          <w:rFonts w:hint="eastAsia" w:ascii="仿宋_GB2312" w:hAnsi="仿宋_GB2312" w:eastAsia="仿宋_GB2312" w:cs="仿宋_GB2312"/>
          <w:color w:val="auto"/>
          <w:sz w:val="32"/>
          <w:szCs w:val="32"/>
          <w:lang w:val="en-US" w:eastAsia="zh-CN"/>
        </w:rPr>
        <w:t>小卖部</w:t>
      </w:r>
      <w:r>
        <w:rPr>
          <w:rFonts w:hint="eastAsia" w:ascii="仿宋_GB2312" w:hAnsi="仿宋_GB2312" w:eastAsia="仿宋_GB2312" w:cs="仿宋_GB2312"/>
          <w:color w:val="auto"/>
          <w:sz w:val="32"/>
          <w:szCs w:val="32"/>
          <w:lang w:eastAsia="zh-CN"/>
        </w:rPr>
        <w:t>的商品供应，以及住院病区的餐食分餐与配送服务。</w:t>
      </w:r>
    </w:p>
    <w:p w14:paraId="737356F4">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3.</w:t>
      </w:r>
      <w:r>
        <w:rPr>
          <w:rFonts w:hint="eastAsia" w:ascii="仿宋_GB2312" w:hAnsi="仿宋_GB2312" w:eastAsia="仿宋_GB2312" w:cs="仿宋_GB2312"/>
          <w:color w:val="auto"/>
          <w:sz w:val="32"/>
          <w:szCs w:val="32"/>
          <w:lang w:eastAsia="zh-CN"/>
        </w:rPr>
        <w:t>服务商</w:t>
      </w:r>
      <w:r>
        <w:rPr>
          <w:rFonts w:hint="eastAsia" w:ascii="仿宋_GB2312" w:hAnsi="仿宋_GB2312" w:eastAsia="仿宋_GB2312" w:cs="仿宋_GB2312"/>
          <w:color w:val="auto"/>
          <w:sz w:val="32"/>
          <w:szCs w:val="32"/>
        </w:rPr>
        <w:t>须根据医院要求，提供营养餐、普通餐、治疗膳食配送、职工餐等服务。</w:t>
      </w:r>
    </w:p>
    <w:p w14:paraId="315FE2B9">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4.</w:t>
      </w:r>
      <w:r>
        <w:rPr>
          <w:rFonts w:hint="eastAsia" w:ascii="仿宋_GB2312" w:hAnsi="仿宋_GB2312" w:eastAsia="仿宋_GB2312" w:cs="仿宋_GB2312"/>
          <w:color w:val="auto"/>
          <w:sz w:val="32"/>
          <w:szCs w:val="32"/>
          <w:lang w:eastAsia="zh-CN"/>
        </w:rPr>
        <w:t>服务商</w:t>
      </w:r>
      <w:r>
        <w:rPr>
          <w:rFonts w:hint="eastAsia" w:ascii="仿宋_GB2312" w:hAnsi="仿宋_GB2312" w:eastAsia="仿宋_GB2312" w:cs="仿宋_GB2312"/>
          <w:color w:val="auto"/>
          <w:sz w:val="32"/>
          <w:szCs w:val="32"/>
        </w:rPr>
        <w:t>不得将本项目全部或部分转让、分包、转包、挂靠或联合经营。</w:t>
      </w:r>
    </w:p>
    <w:p w14:paraId="2C4E6CCC">
      <w:pPr>
        <w:keepNext w:val="0"/>
        <w:keepLines w:val="0"/>
        <w:pageBreakBefore w:val="0"/>
        <w:widowControl w:val="0"/>
        <w:kinsoku/>
        <w:wordWrap/>
        <w:overflowPunct/>
        <w:topLinePunct w:val="0"/>
        <w:autoSpaceDE/>
        <w:autoSpaceDN/>
        <w:bidi w:val="0"/>
        <w:adjustRightInd/>
        <w:snapToGrid/>
        <w:spacing w:line="560" w:lineRule="exact"/>
        <w:ind w:left="0" w:leftChars="0" w:firstLine="643" w:firstLineChars="200"/>
        <w:textAlignment w:val="auto"/>
        <w:rPr>
          <w:rFonts w:hint="eastAsia" w:ascii="仿宋_GB2312" w:hAnsi="仿宋_GB2312" w:eastAsia="仿宋_GB2312" w:cs="仿宋_GB2312"/>
          <w:b/>
          <w:bCs/>
          <w:color w:val="auto"/>
          <w:sz w:val="32"/>
          <w:szCs w:val="32"/>
        </w:rPr>
      </w:pPr>
      <w:r>
        <w:rPr>
          <w:rFonts w:hint="eastAsia" w:ascii="仿宋_GB2312" w:hAnsi="仿宋_GB2312" w:eastAsia="仿宋_GB2312" w:cs="仿宋_GB2312"/>
          <w:b/>
          <w:bCs/>
          <w:color w:val="auto"/>
          <w:sz w:val="32"/>
          <w:szCs w:val="32"/>
        </w:rPr>
        <w:t>（二）经营场所要求</w:t>
      </w:r>
    </w:p>
    <w:p w14:paraId="0FFF83EE">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1. 本项目经营场所为院外场地，由</w:t>
      </w:r>
      <w:r>
        <w:rPr>
          <w:rFonts w:hint="eastAsia" w:ascii="仿宋_GB2312" w:hAnsi="仿宋_GB2312" w:eastAsia="仿宋_GB2312" w:cs="仿宋_GB2312"/>
          <w:color w:val="auto"/>
          <w:sz w:val="32"/>
          <w:szCs w:val="32"/>
          <w:lang w:eastAsia="zh-CN"/>
        </w:rPr>
        <w:t>服务商</w:t>
      </w:r>
      <w:r>
        <w:rPr>
          <w:rFonts w:hint="eastAsia" w:ascii="仿宋_GB2312" w:hAnsi="仿宋_GB2312" w:eastAsia="仿宋_GB2312" w:cs="仿宋_GB2312"/>
          <w:color w:val="auto"/>
          <w:sz w:val="32"/>
          <w:szCs w:val="32"/>
        </w:rPr>
        <w:t>自行选址并落实房屋来源，选址须位于医院院区外、医院周边</w:t>
      </w:r>
      <w:r>
        <w:rPr>
          <w:rFonts w:hint="eastAsia" w:ascii="仿宋_GB2312" w:hAnsi="仿宋_GB2312" w:eastAsia="仿宋_GB2312" w:cs="仿宋_GB2312"/>
          <w:color w:val="auto"/>
          <w:sz w:val="32"/>
          <w:szCs w:val="32"/>
          <w:lang w:val="en-US" w:eastAsia="zh-CN"/>
        </w:rPr>
        <w:t>不超过2</w:t>
      </w:r>
      <w:r>
        <w:rPr>
          <w:rFonts w:hint="eastAsia" w:ascii="仿宋_GB2312" w:hAnsi="仿宋_GB2312" w:eastAsia="仿宋_GB2312" w:cs="仿宋_GB2312"/>
          <w:color w:val="auto"/>
          <w:sz w:val="32"/>
          <w:szCs w:val="32"/>
        </w:rPr>
        <w:t>0</w:t>
      </w:r>
      <w:r>
        <w:rPr>
          <w:rFonts w:hint="eastAsia" w:ascii="仿宋_GB2312" w:hAnsi="仿宋_GB2312" w:eastAsia="仿宋_GB2312" w:cs="仿宋_GB2312"/>
          <w:color w:val="auto"/>
          <w:sz w:val="32"/>
          <w:szCs w:val="32"/>
          <w:lang w:val="en-US" w:eastAsia="zh-CN"/>
        </w:rPr>
        <w:t>0</w:t>
      </w:r>
      <w:r>
        <w:rPr>
          <w:rFonts w:hint="eastAsia" w:ascii="仿宋_GB2312" w:hAnsi="仿宋_GB2312" w:eastAsia="仿宋_GB2312" w:cs="仿宋_GB2312"/>
          <w:color w:val="auto"/>
          <w:sz w:val="32"/>
          <w:szCs w:val="32"/>
        </w:rPr>
        <w:t>米范围内，确保与医院联系便捷，满足职工、患者及陪护人员就餐和配送需要。</w:t>
      </w:r>
    </w:p>
    <w:p w14:paraId="7E650348">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2.经营场所须为合法建筑，具备合法的产权证明或租赁手续，满足消防、环保、食品安全、燃气、用电、给排水、油烟排放、垃圾处置等开办餐饮服务的法定条件。</w:t>
      </w:r>
    </w:p>
    <w:p w14:paraId="5DFE1A0E">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3.经营场所建筑面积不得小于1000平方米，布局合理，须设置食品处理区、就餐区、仓储区、洗消间、更衣间、卫生间、配送暂存区等功能区域，满足生熟分开、洁污分流、人物分流等食品安全要求。</w:t>
      </w:r>
    </w:p>
    <w:p w14:paraId="3AF49301">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4.经营场所不得位于污染区、垃圾转运站、化粪池、有毒有害场所周边，不得与污染源直接相邻，确保食品加工和就餐环境安全。</w:t>
      </w:r>
    </w:p>
    <w:p w14:paraId="3F318949">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5.经营场所须具备独立出入口，便于医院职工、患者及陪护人员进出，并满足配送车辆临时停靠和装卸要求。</w:t>
      </w:r>
    </w:p>
    <w:p w14:paraId="71AA8854">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6.如</w:t>
      </w:r>
      <w:r>
        <w:rPr>
          <w:rFonts w:hint="eastAsia" w:ascii="仿宋_GB2312" w:hAnsi="仿宋_GB2312" w:eastAsia="仿宋_GB2312" w:cs="仿宋_GB2312"/>
          <w:color w:val="auto"/>
          <w:sz w:val="32"/>
          <w:szCs w:val="32"/>
          <w:lang w:eastAsia="zh-CN"/>
        </w:rPr>
        <w:t>服务商</w:t>
      </w:r>
      <w:r>
        <w:rPr>
          <w:rFonts w:hint="eastAsia" w:ascii="仿宋_GB2312" w:hAnsi="仿宋_GB2312" w:eastAsia="仿宋_GB2312" w:cs="仿宋_GB2312"/>
          <w:color w:val="auto"/>
          <w:sz w:val="32"/>
          <w:szCs w:val="32"/>
        </w:rPr>
        <w:t>在合同签订后无法落实符合要求的院外经营场地，招标人有权取消其中标资格或解除合同，由此产生的一切责任和损失由</w:t>
      </w:r>
      <w:r>
        <w:rPr>
          <w:rFonts w:hint="eastAsia" w:ascii="仿宋_GB2312" w:hAnsi="仿宋_GB2312" w:eastAsia="仿宋_GB2312" w:cs="仿宋_GB2312"/>
          <w:color w:val="auto"/>
          <w:sz w:val="32"/>
          <w:szCs w:val="32"/>
          <w:lang w:eastAsia="zh-CN"/>
        </w:rPr>
        <w:t>服务商</w:t>
      </w:r>
      <w:r>
        <w:rPr>
          <w:rFonts w:hint="eastAsia" w:ascii="仿宋_GB2312" w:hAnsi="仿宋_GB2312" w:eastAsia="仿宋_GB2312" w:cs="仿宋_GB2312"/>
          <w:color w:val="auto"/>
          <w:sz w:val="32"/>
          <w:szCs w:val="32"/>
        </w:rPr>
        <w:t>自行承担。</w:t>
      </w:r>
    </w:p>
    <w:p w14:paraId="4ADE36EB">
      <w:pPr>
        <w:keepNext w:val="0"/>
        <w:keepLines w:val="0"/>
        <w:pageBreakBefore w:val="0"/>
        <w:widowControl w:val="0"/>
        <w:kinsoku/>
        <w:wordWrap/>
        <w:overflowPunct/>
        <w:topLinePunct w:val="0"/>
        <w:autoSpaceDE/>
        <w:autoSpaceDN/>
        <w:bidi w:val="0"/>
        <w:adjustRightInd/>
        <w:snapToGrid/>
        <w:spacing w:line="560" w:lineRule="exact"/>
        <w:ind w:left="0" w:leftChars="0" w:firstLine="643" w:firstLineChars="200"/>
        <w:textAlignment w:val="auto"/>
        <w:rPr>
          <w:rFonts w:hint="eastAsia" w:ascii="仿宋_GB2312" w:hAnsi="仿宋_GB2312" w:eastAsia="仿宋_GB2312" w:cs="仿宋_GB2312"/>
          <w:b/>
          <w:bCs/>
          <w:color w:val="auto"/>
          <w:sz w:val="32"/>
          <w:szCs w:val="32"/>
        </w:rPr>
      </w:pPr>
      <w:r>
        <w:rPr>
          <w:rFonts w:hint="eastAsia" w:ascii="仿宋_GB2312" w:hAnsi="仿宋_GB2312" w:eastAsia="仿宋_GB2312" w:cs="仿宋_GB2312"/>
          <w:b/>
          <w:bCs/>
          <w:color w:val="auto"/>
          <w:sz w:val="32"/>
          <w:szCs w:val="32"/>
        </w:rPr>
        <w:t>三、装修改造及设备投入要求</w:t>
      </w:r>
    </w:p>
    <w:p w14:paraId="6AF1D322">
      <w:pPr>
        <w:keepNext w:val="0"/>
        <w:keepLines w:val="0"/>
        <w:pageBreakBefore w:val="0"/>
        <w:widowControl w:val="0"/>
        <w:kinsoku/>
        <w:wordWrap/>
        <w:overflowPunct/>
        <w:topLinePunct w:val="0"/>
        <w:autoSpaceDE/>
        <w:autoSpaceDN/>
        <w:bidi w:val="0"/>
        <w:adjustRightInd/>
        <w:snapToGrid/>
        <w:spacing w:line="560" w:lineRule="exact"/>
        <w:ind w:left="0" w:leftChars="0" w:firstLine="643" w:firstLineChars="200"/>
        <w:textAlignment w:val="auto"/>
        <w:rPr>
          <w:rFonts w:hint="eastAsia" w:ascii="仿宋_GB2312" w:hAnsi="仿宋_GB2312" w:eastAsia="仿宋_GB2312" w:cs="仿宋_GB2312"/>
          <w:b/>
          <w:bCs/>
          <w:color w:val="auto"/>
          <w:sz w:val="32"/>
          <w:szCs w:val="32"/>
        </w:rPr>
      </w:pPr>
      <w:r>
        <w:rPr>
          <w:rFonts w:hint="eastAsia" w:ascii="仿宋_GB2312" w:hAnsi="仿宋_GB2312" w:eastAsia="仿宋_GB2312" w:cs="仿宋_GB2312"/>
          <w:b/>
          <w:bCs/>
          <w:color w:val="auto"/>
          <w:sz w:val="32"/>
          <w:szCs w:val="32"/>
        </w:rPr>
        <w:t>（一）装修改造内容</w:t>
      </w:r>
    </w:p>
    <w:p w14:paraId="7D315541">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1.</w:t>
      </w:r>
      <w:r>
        <w:rPr>
          <w:rFonts w:hint="eastAsia" w:ascii="仿宋_GB2312" w:hAnsi="仿宋_GB2312" w:eastAsia="仿宋_GB2312" w:cs="仿宋_GB2312"/>
          <w:color w:val="auto"/>
          <w:sz w:val="32"/>
          <w:szCs w:val="32"/>
          <w:lang w:eastAsia="zh-CN"/>
        </w:rPr>
        <w:t>服务商</w:t>
      </w:r>
      <w:r>
        <w:rPr>
          <w:rFonts w:hint="eastAsia" w:ascii="仿宋_GB2312" w:hAnsi="仿宋_GB2312" w:eastAsia="仿宋_GB2312" w:cs="仿宋_GB2312"/>
          <w:color w:val="auto"/>
          <w:sz w:val="32"/>
          <w:szCs w:val="32"/>
        </w:rPr>
        <w:t>须根据院外食堂经营需要，对经营场所进行装修改造和内部功能布局调整，包括但不限于地面、墙面、吊顶、排水、排烟、隔油、燃气、电气、消防、通风、照明、标识标牌、功能分区、明厨亮灶等。</w:t>
      </w:r>
    </w:p>
    <w:p w14:paraId="408FBDCD">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2.</w:t>
      </w:r>
      <w:r>
        <w:rPr>
          <w:rFonts w:hint="eastAsia" w:ascii="仿宋_GB2312" w:hAnsi="仿宋_GB2312" w:eastAsia="仿宋_GB2312" w:cs="仿宋_GB2312"/>
          <w:color w:val="auto"/>
          <w:sz w:val="32"/>
          <w:szCs w:val="32"/>
          <w:lang w:eastAsia="zh-CN"/>
        </w:rPr>
        <w:t>服务商</w:t>
      </w:r>
      <w:r>
        <w:rPr>
          <w:rFonts w:hint="eastAsia" w:ascii="仿宋_GB2312" w:hAnsi="仿宋_GB2312" w:eastAsia="仿宋_GB2312" w:cs="仿宋_GB2312"/>
          <w:color w:val="auto"/>
          <w:sz w:val="32"/>
          <w:szCs w:val="32"/>
        </w:rPr>
        <w:t>须投入食堂经营所需的全部设施设备，包括厨房设备、餐桌椅、电器、厨具、冷藏冷冻设备、消毒设备、餐具、配送箱、食堂管理软件及配套硬件等，所有投入设备均须为全新。</w:t>
      </w:r>
    </w:p>
    <w:p w14:paraId="2C1F621B">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3.装修改造和设备投入须满足国家现行食品安全、消防、环保、节能、卫生等标准要求。</w:t>
      </w:r>
    </w:p>
    <w:p w14:paraId="1B487B30">
      <w:pPr>
        <w:keepNext w:val="0"/>
        <w:keepLines w:val="0"/>
        <w:pageBreakBefore w:val="0"/>
        <w:widowControl w:val="0"/>
        <w:kinsoku/>
        <w:wordWrap/>
        <w:overflowPunct/>
        <w:topLinePunct w:val="0"/>
        <w:autoSpaceDE/>
        <w:autoSpaceDN/>
        <w:bidi w:val="0"/>
        <w:adjustRightInd/>
        <w:snapToGrid/>
        <w:spacing w:line="560" w:lineRule="exact"/>
        <w:ind w:left="0" w:leftChars="0" w:firstLine="643" w:firstLineChars="200"/>
        <w:textAlignment w:val="auto"/>
        <w:rPr>
          <w:rFonts w:hint="eastAsia" w:ascii="仿宋_GB2312" w:hAnsi="仿宋_GB2312" w:eastAsia="仿宋_GB2312" w:cs="仿宋_GB2312"/>
          <w:b/>
          <w:bCs/>
          <w:color w:val="auto"/>
          <w:sz w:val="32"/>
          <w:szCs w:val="32"/>
        </w:rPr>
      </w:pPr>
      <w:r>
        <w:rPr>
          <w:rFonts w:hint="eastAsia" w:ascii="仿宋_GB2312" w:hAnsi="仿宋_GB2312" w:eastAsia="仿宋_GB2312" w:cs="仿宋_GB2312"/>
          <w:b/>
          <w:bCs/>
          <w:color w:val="auto"/>
          <w:sz w:val="32"/>
          <w:szCs w:val="32"/>
        </w:rPr>
        <w:t>（二）资金投入要求</w:t>
      </w:r>
    </w:p>
    <w:p w14:paraId="502598EF">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1.投标人须结合现场踏勘情况和自身经营方案，制定本项目装修改造及设备投入资金计划，并在投标文件中作出书面承诺。</w:t>
      </w:r>
    </w:p>
    <w:p w14:paraId="7C237580">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2.</w:t>
      </w:r>
      <w:r>
        <w:rPr>
          <w:rFonts w:hint="eastAsia" w:ascii="仿宋_GB2312" w:hAnsi="仿宋_GB2312" w:eastAsia="仿宋_GB2312" w:cs="仿宋_GB2312"/>
          <w:color w:val="auto"/>
          <w:sz w:val="32"/>
          <w:szCs w:val="32"/>
          <w:highlight w:val="none"/>
          <w:lang w:eastAsia="zh-CN"/>
        </w:rPr>
        <w:t>服务商</w:t>
      </w:r>
      <w:r>
        <w:rPr>
          <w:rFonts w:hint="eastAsia" w:ascii="仿宋_GB2312" w:hAnsi="仿宋_GB2312" w:eastAsia="仿宋_GB2312" w:cs="仿宋_GB2312"/>
          <w:color w:val="auto"/>
          <w:sz w:val="32"/>
          <w:szCs w:val="32"/>
          <w:highlight w:val="none"/>
        </w:rPr>
        <w:t>提交最终装修改造方案时，须同时提交详细的装修改造及设备购置清单（含品牌、规格、数量、单价、总价），报招标人审核同意后实施。</w:t>
      </w:r>
    </w:p>
    <w:p w14:paraId="324E1023">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en-US" w:eastAsia="zh-CN"/>
        </w:rPr>
        <w:t>3</w:t>
      </w:r>
      <w:r>
        <w:rPr>
          <w:rFonts w:hint="eastAsia" w:ascii="仿宋_GB2312" w:hAnsi="仿宋_GB2312" w:eastAsia="仿宋_GB2312" w:cs="仿宋_GB2312"/>
          <w:color w:val="auto"/>
          <w:sz w:val="32"/>
          <w:szCs w:val="32"/>
        </w:rPr>
        <w:t>.实际装修改造及设备投入金额不得低于投标承诺金额。若未按审核通过的方案实施，或实际投入金额不足承诺金额，视为</w:t>
      </w:r>
      <w:r>
        <w:rPr>
          <w:rFonts w:hint="eastAsia" w:ascii="仿宋_GB2312" w:hAnsi="仿宋_GB2312" w:eastAsia="仿宋_GB2312" w:cs="仿宋_GB2312"/>
          <w:color w:val="auto"/>
          <w:sz w:val="32"/>
          <w:szCs w:val="32"/>
          <w:lang w:eastAsia="zh-CN"/>
        </w:rPr>
        <w:t>服务商</w:t>
      </w:r>
      <w:r>
        <w:rPr>
          <w:rFonts w:hint="eastAsia" w:ascii="仿宋_GB2312" w:hAnsi="仿宋_GB2312" w:eastAsia="仿宋_GB2312" w:cs="仿宋_GB2312"/>
          <w:color w:val="auto"/>
          <w:sz w:val="32"/>
          <w:szCs w:val="32"/>
        </w:rPr>
        <w:t>违约，招标人有权要求限期整改、扣减履约保证金，直至解除合同。</w:t>
      </w:r>
    </w:p>
    <w:p w14:paraId="5701BB8A">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en-US" w:eastAsia="zh-CN"/>
        </w:rPr>
        <w:t>4</w:t>
      </w:r>
      <w:r>
        <w:rPr>
          <w:rFonts w:hint="eastAsia" w:ascii="仿宋_GB2312" w:hAnsi="仿宋_GB2312" w:eastAsia="仿宋_GB2312" w:cs="仿宋_GB2312"/>
          <w:color w:val="auto"/>
          <w:sz w:val="32"/>
          <w:szCs w:val="32"/>
        </w:rPr>
        <w:t>.经营期限内，</w:t>
      </w:r>
      <w:r>
        <w:rPr>
          <w:rFonts w:hint="eastAsia" w:ascii="仿宋_GB2312" w:hAnsi="仿宋_GB2312" w:eastAsia="仿宋_GB2312" w:cs="仿宋_GB2312"/>
          <w:color w:val="auto"/>
          <w:sz w:val="32"/>
          <w:szCs w:val="32"/>
          <w:lang w:eastAsia="zh-CN"/>
        </w:rPr>
        <w:t>服务商</w:t>
      </w:r>
      <w:r>
        <w:rPr>
          <w:rFonts w:hint="eastAsia" w:ascii="仿宋_GB2312" w:hAnsi="仿宋_GB2312" w:eastAsia="仿宋_GB2312" w:cs="仿宋_GB2312"/>
          <w:color w:val="auto"/>
          <w:sz w:val="32"/>
          <w:szCs w:val="32"/>
        </w:rPr>
        <w:t>可根据经营需要，经招标人书面同意后，对经营场所进行局部优化和设备更新，相关费用由</w:t>
      </w:r>
      <w:r>
        <w:rPr>
          <w:rFonts w:hint="eastAsia" w:ascii="仿宋_GB2312" w:hAnsi="仿宋_GB2312" w:eastAsia="仿宋_GB2312" w:cs="仿宋_GB2312"/>
          <w:color w:val="auto"/>
          <w:sz w:val="32"/>
          <w:szCs w:val="32"/>
          <w:lang w:eastAsia="zh-CN"/>
        </w:rPr>
        <w:t>服务商</w:t>
      </w:r>
      <w:r>
        <w:rPr>
          <w:rFonts w:hint="eastAsia" w:ascii="仿宋_GB2312" w:hAnsi="仿宋_GB2312" w:eastAsia="仿宋_GB2312" w:cs="仿宋_GB2312"/>
          <w:color w:val="auto"/>
          <w:sz w:val="32"/>
          <w:szCs w:val="32"/>
        </w:rPr>
        <w:t>自行承担。</w:t>
      </w:r>
    </w:p>
    <w:p w14:paraId="2245ACCE">
      <w:pPr>
        <w:keepNext w:val="0"/>
        <w:keepLines w:val="0"/>
        <w:pageBreakBefore w:val="0"/>
        <w:widowControl w:val="0"/>
        <w:kinsoku/>
        <w:wordWrap/>
        <w:overflowPunct/>
        <w:topLinePunct w:val="0"/>
        <w:autoSpaceDE/>
        <w:autoSpaceDN/>
        <w:bidi w:val="0"/>
        <w:adjustRightInd/>
        <w:snapToGrid/>
        <w:spacing w:line="560" w:lineRule="exact"/>
        <w:ind w:left="0" w:leftChars="0" w:firstLine="643" w:firstLineChars="200"/>
        <w:textAlignment w:val="auto"/>
        <w:rPr>
          <w:rFonts w:hint="eastAsia" w:ascii="仿宋_GB2312" w:hAnsi="仿宋_GB2312" w:eastAsia="仿宋_GB2312" w:cs="仿宋_GB2312"/>
          <w:b/>
          <w:bCs/>
          <w:color w:val="auto"/>
          <w:sz w:val="32"/>
          <w:szCs w:val="32"/>
        </w:rPr>
      </w:pPr>
      <w:r>
        <w:rPr>
          <w:rFonts w:hint="eastAsia" w:ascii="仿宋_GB2312" w:hAnsi="仿宋_GB2312" w:eastAsia="仿宋_GB2312" w:cs="仿宋_GB2312"/>
          <w:b/>
          <w:bCs/>
          <w:color w:val="auto"/>
          <w:sz w:val="32"/>
          <w:szCs w:val="32"/>
        </w:rPr>
        <w:t>（三）装修改造时间及开业要求</w:t>
      </w:r>
    </w:p>
    <w:p w14:paraId="0D07F1E0">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1.合同签订后7日内，</w:t>
      </w:r>
      <w:r>
        <w:rPr>
          <w:rFonts w:hint="eastAsia" w:ascii="仿宋_GB2312" w:hAnsi="仿宋_GB2312" w:eastAsia="仿宋_GB2312" w:cs="仿宋_GB2312"/>
          <w:color w:val="auto"/>
          <w:sz w:val="32"/>
          <w:szCs w:val="32"/>
          <w:lang w:eastAsia="zh-CN"/>
        </w:rPr>
        <w:t>服务商</w:t>
      </w:r>
      <w:r>
        <w:rPr>
          <w:rFonts w:hint="eastAsia" w:ascii="仿宋_GB2312" w:hAnsi="仿宋_GB2312" w:eastAsia="仿宋_GB2312" w:cs="仿宋_GB2312"/>
          <w:color w:val="auto"/>
          <w:sz w:val="32"/>
          <w:szCs w:val="32"/>
        </w:rPr>
        <w:t>须向招标人提交最终装修改造方案及投资清单，经招标人审核确认后方可施工。</w:t>
      </w:r>
    </w:p>
    <w:p w14:paraId="60CB7BE0">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2.最终方案确认后90日内，</w:t>
      </w:r>
      <w:r>
        <w:rPr>
          <w:rFonts w:hint="eastAsia" w:ascii="仿宋_GB2312" w:hAnsi="仿宋_GB2312" w:eastAsia="仿宋_GB2312" w:cs="仿宋_GB2312"/>
          <w:color w:val="auto"/>
          <w:sz w:val="32"/>
          <w:szCs w:val="32"/>
          <w:lang w:eastAsia="zh-CN"/>
        </w:rPr>
        <w:t>服务商</w:t>
      </w:r>
      <w:r>
        <w:rPr>
          <w:rFonts w:hint="eastAsia" w:ascii="仿宋_GB2312" w:hAnsi="仿宋_GB2312" w:eastAsia="仿宋_GB2312" w:cs="仿宋_GB2312"/>
          <w:color w:val="auto"/>
          <w:sz w:val="32"/>
          <w:szCs w:val="32"/>
        </w:rPr>
        <w:t>须完成装修改造、设备购置、人员配备、制度建立、食品安全许可办理等工作，达到正常开业条件。</w:t>
      </w:r>
    </w:p>
    <w:p w14:paraId="0651C9D9">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3.装修改造期间不计入3年经营服务期，不收取管理服务费；但因</w:t>
      </w:r>
      <w:r>
        <w:rPr>
          <w:rFonts w:hint="eastAsia" w:ascii="仿宋_GB2312" w:hAnsi="仿宋_GB2312" w:eastAsia="仿宋_GB2312" w:cs="仿宋_GB2312"/>
          <w:color w:val="auto"/>
          <w:sz w:val="32"/>
          <w:szCs w:val="32"/>
          <w:lang w:eastAsia="zh-CN"/>
        </w:rPr>
        <w:t>服务商</w:t>
      </w:r>
      <w:r>
        <w:rPr>
          <w:rFonts w:hint="eastAsia" w:ascii="仿宋_GB2312" w:hAnsi="仿宋_GB2312" w:eastAsia="仿宋_GB2312" w:cs="仿宋_GB2312"/>
          <w:color w:val="auto"/>
          <w:sz w:val="32"/>
          <w:szCs w:val="32"/>
        </w:rPr>
        <w:t>原因导致逾期开业的，责任由</w:t>
      </w:r>
      <w:r>
        <w:rPr>
          <w:rFonts w:hint="eastAsia" w:ascii="仿宋_GB2312" w:hAnsi="仿宋_GB2312" w:eastAsia="仿宋_GB2312" w:cs="仿宋_GB2312"/>
          <w:color w:val="auto"/>
          <w:sz w:val="32"/>
          <w:szCs w:val="32"/>
          <w:lang w:eastAsia="zh-CN"/>
        </w:rPr>
        <w:t>服务商</w:t>
      </w:r>
      <w:r>
        <w:rPr>
          <w:rFonts w:hint="eastAsia" w:ascii="仿宋_GB2312" w:hAnsi="仿宋_GB2312" w:eastAsia="仿宋_GB2312" w:cs="仿宋_GB2312"/>
          <w:color w:val="auto"/>
          <w:sz w:val="32"/>
          <w:szCs w:val="32"/>
        </w:rPr>
        <w:t>自行承担。</w:t>
      </w:r>
    </w:p>
    <w:p w14:paraId="6A3AEDD1">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4.服务商在装修改造过渡期内可使用采购人现有的配套场地及设施设备。</w:t>
      </w:r>
    </w:p>
    <w:p w14:paraId="1F219518">
      <w:pPr>
        <w:keepNext w:val="0"/>
        <w:keepLines w:val="0"/>
        <w:pageBreakBefore w:val="0"/>
        <w:widowControl w:val="0"/>
        <w:kinsoku/>
        <w:wordWrap/>
        <w:overflowPunct/>
        <w:topLinePunct w:val="0"/>
        <w:autoSpaceDE/>
        <w:autoSpaceDN/>
        <w:bidi w:val="0"/>
        <w:adjustRightInd/>
        <w:snapToGrid/>
        <w:spacing w:line="560" w:lineRule="exact"/>
        <w:ind w:left="0" w:leftChars="0" w:firstLine="643" w:firstLineChars="200"/>
        <w:textAlignment w:val="auto"/>
        <w:rPr>
          <w:rFonts w:hint="eastAsia" w:ascii="仿宋_GB2312" w:hAnsi="仿宋_GB2312" w:eastAsia="仿宋_GB2312" w:cs="仿宋_GB2312"/>
          <w:b/>
          <w:bCs/>
          <w:color w:val="auto"/>
          <w:sz w:val="32"/>
          <w:szCs w:val="32"/>
        </w:rPr>
      </w:pPr>
      <w:r>
        <w:rPr>
          <w:rFonts w:hint="eastAsia" w:ascii="仿宋_GB2312" w:hAnsi="仿宋_GB2312" w:eastAsia="仿宋_GB2312" w:cs="仿宋_GB2312"/>
          <w:b/>
          <w:bCs/>
          <w:color w:val="auto"/>
          <w:sz w:val="32"/>
          <w:szCs w:val="32"/>
        </w:rPr>
        <w:t>四、经营期限及管理费</w:t>
      </w:r>
    </w:p>
    <w:p w14:paraId="1A4678B3">
      <w:pPr>
        <w:keepNext w:val="0"/>
        <w:keepLines w:val="0"/>
        <w:pageBreakBefore w:val="0"/>
        <w:widowControl w:val="0"/>
        <w:kinsoku/>
        <w:wordWrap/>
        <w:overflowPunct/>
        <w:topLinePunct w:val="0"/>
        <w:autoSpaceDE/>
        <w:autoSpaceDN/>
        <w:bidi w:val="0"/>
        <w:adjustRightInd/>
        <w:snapToGrid/>
        <w:spacing w:line="560" w:lineRule="exact"/>
        <w:ind w:left="0" w:leftChars="0" w:firstLine="643" w:firstLineChars="200"/>
        <w:textAlignment w:val="auto"/>
        <w:rPr>
          <w:rFonts w:hint="eastAsia" w:ascii="仿宋_GB2312" w:hAnsi="仿宋_GB2312" w:eastAsia="仿宋_GB2312" w:cs="仿宋_GB2312"/>
          <w:b/>
          <w:bCs/>
          <w:color w:val="auto"/>
          <w:sz w:val="32"/>
          <w:szCs w:val="32"/>
        </w:rPr>
      </w:pPr>
      <w:r>
        <w:rPr>
          <w:rFonts w:hint="eastAsia" w:ascii="仿宋_GB2312" w:hAnsi="仿宋_GB2312" w:eastAsia="仿宋_GB2312" w:cs="仿宋_GB2312"/>
          <w:b/>
          <w:bCs/>
          <w:color w:val="auto"/>
          <w:sz w:val="32"/>
          <w:szCs w:val="32"/>
        </w:rPr>
        <w:t>（一）经营期限</w:t>
      </w:r>
    </w:p>
    <w:p w14:paraId="0466F840">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本项目经营期限为3年，自项目正式开业并经招标人书面确认之日起计算。</w:t>
      </w:r>
    </w:p>
    <w:p w14:paraId="3F0A96A3">
      <w:pPr>
        <w:keepNext w:val="0"/>
        <w:keepLines w:val="0"/>
        <w:pageBreakBefore w:val="0"/>
        <w:widowControl w:val="0"/>
        <w:kinsoku/>
        <w:wordWrap/>
        <w:overflowPunct/>
        <w:topLinePunct w:val="0"/>
        <w:autoSpaceDE/>
        <w:autoSpaceDN/>
        <w:bidi w:val="0"/>
        <w:adjustRightInd/>
        <w:snapToGrid/>
        <w:spacing w:line="560" w:lineRule="exact"/>
        <w:ind w:left="0" w:leftChars="0" w:firstLine="643" w:firstLineChars="200"/>
        <w:textAlignment w:val="auto"/>
        <w:rPr>
          <w:rFonts w:hint="eastAsia" w:ascii="仿宋_GB2312" w:hAnsi="仿宋_GB2312" w:eastAsia="仿宋_GB2312" w:cs="仿宋_GB2312"/>
          <w:b/>
          <w:bCs/>
          <w:color w:val="auto"/>
          <w:sz w:val="32"/>
          <w:szCs w:val="32"/>
        </w:rPr>
      </w:pPr>
      <w:r>
        <w:rPr>
          <w:rFonts w:hint="eastAsia" w:ascii="仿宋_GB2312" w:hAnsi="仿宋_GB2312" w:eastAsia="仿宋_GB2312" w:cs="仿宋_GB2312"/>
          <w:b/>
          <w:bCs/>
          <w:color w:val="auto"/>
          <w:sz w:val="32"/>
          <w:szCs w:val="32"/>
        </w:rPr>
        <w:t>（二）管理服务费</w:t>
      </w:r>
    </w:p>
    <w:p w14:paraId="567179D2">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1</w:t>
      </w:r>
      <w:r>
        <w:rPr>
          <w:rFonts w:hint="eastAsia" w:ascii="仿宋_GB2312" w:hAnsi="仿宋_GB2312" w:eastAsia="仿宋_GB2312" w:cs="仿宋_GB2312"/>
          <w:color w:val="auto"/>
          <w:sz w:val="32"/>
          <w:szCs w:val="32"/>
          <w:lang w:val="en-US" w:eastAsia="zh-CN"/>
        </w:rPr>
        <w:t>.</w:t>
      </w:r>
      <w:r>
        <w:rPr>
          <w:rFonts w:hint="eastAsia" w:ascii="仿宋_GB2312" w:hAnsi="仿宋_GB2312" w:eastAsia="仿宋_GB2312" w:cs="仿宋_GB2312"/>
          <w:color w:val="auto"/>
          <w:sz w:val="32"/>
          <w:szCs w:val="32"/>
        </w:rPr>
        <w:t>投标人须在投标文件中针对3年经营期报出管理服务费报价或管理服务费费率，否则按否决投标处理。</w:t>
      </w:r>
    </w:p>
    <w:p w14:paraId="5BDAD55D">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2.第1年免收管理服务费</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第2、3年按中标报价</w:t>
      </w:r>
      <w:r>
        <w:rPr>
          <w:rFonts w:hint="eastAsia" w:ascii="仿宋_GB2312" w:hAnsi="仿宋_GB2312" w:eastAsia="仿宋_GB2312" w:cs="仿宋_GB2312"/>
          <w:color w:val="auto"/>
          <w:sz w:val="32"/>
          <w:szCs w:val="32"/>
          <w:lang w:val="en-US" w:eastAsia="zh-CN"/>
        </w:rPr>
        <w:t>的</w:t>
      </w:r>
      <w:r>
        <w:rPr>
          <w:rFonts w:hint="eastAsia" w:ascii="仿宋_GB2312" w:hAnsi="仿宋_GB2312" w:eastAsia="仿宋_GB2312" w:cs="仿宋_GB2312"/>
          <w:color w:val="auto"/>
          <w:kern w:val="2"/>
          <w:sz w:val="32"/>
          <w:szCs w:val="32"/>
          <w:highlight w:val="none"/>
          <w:lang w:val="en-US" w:eastAsia="zh-CN" w:bidi="ar-SA"/>
        </w:rPr>
        <w:t>固定合作管理费收取</w:t>
      </w:r>
      <w:r>
        <w:rPr>
          <w:rFonts w:hint="eastAsia" w:ascii="仿宋_GB2312" w:hAnsi="仿宋_GB2312" w:eastAsia="仿宋_GB2312" w:cs="仿宋_GB2312"/>
          <w:color w:val="auto"/>
          <w:sz w:val="32"/>
          <w:szCs w:val="32"/>
        </w:rPr>
        <w:t>。</w:t>
      </w:r>
    </w:p>
    <w:p w14:paraId="3FB28F0F">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3.</w:t>
      </w:r>
      <w:r>
        <w:rPr>
          <w:rFonts w:hint="eastAsia" w:ascii="仿宋_GB2312" w:hAnsi="仿宋_GB2312" w:eastAsia="仿宋_GB2312" w:cs="仿宋_GB2312"/>
          <w:color w:val="auto"/>
          <w:sz w:val="32"/>
          <w:szCs w:val="32"/>
          <w:lang w:eastAsia="zh-CN"/>
        </w:rPr>
        <w:t>服务商</w:t>
      </w:r>
      <w:r>
        <w:rPr>
          <w:rFonts w:hint="eastAsia" w:ascii="仿宋_GB2312" w:hAnsi="仿宋_GB2312" w:eastAsia="仿宋_GB2312" w:cs="仿宋_GB2312"/>
          <w:color w:val="auto"/>
          <w:sz w:val="32"/>
          <w:szCs w:val="32"/>
        </w:rPr>
        <w:t>须于每月1</w:t>
      </w:r>
      <w:r>
        <w:rPr>
          <w:rFonts w:hint="eastAsia" w:ascii="仿宋_GB2312" w:hAnsi="仿宋_GB2312" w:eastAsia="仿宋_GB2312" w:cs="仿宋_GB2312"/>
          <w:color w:val="auto"/>
          <w:sz w:val="32"/>
          <w:szCs w:val="32"/>
          <w:lang w:val="en-US" w:eastAsia="zh-CN"/>
        </w:rPr>
        <w:t>5</w:t>
      </w:r>
      <w:r>
        <w:rPr>
          <w:rFonts w:hint="eastAsia" w:ascii="仿宋_GB2312" w:hAnsi="仿宋_GB2312" w:eastAsia="仿宋_GB2312" w:cs="仿宋_GB2312"/>
          <w:color w:val="auto"/>
          <w:sz w:val="32"/>
          <w:szCs w:val="32"/>
        </w:rPr>
        <w:t>日向招标人支付上月管理费，并按招标人要求提交结算资料。</w:t>
      </w:r>
    </w:p>
    <w:p w14:paraId="01062935">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4.食堂及</w:t>
      </w:r>
      <w:r>
        <w:rPr>
          <w:rFonts w:hint="eastAsia" w:ascii="仿宋_GB2312" w:hAnsi="仿宋_GB2312" w:eastAsia="仿宋_GB2312" w:cs="仿宋_GB2312"/>
          <w:color w:val="auto"/>
          <w:sz w:val="32"/>
          <w:szCs w:val="32"/>
          <w:lang w:val="en-US" w:eastAsia="zh-CN"/>
        </w:rPr>
        <w:t>小卖部</w:t>
      </w:r>
      <w:r>
        <w:rPr>
          <w:rFonts w:hint="eastAsia" w:ascii="仿宋_GB2312" w:hAnsi="仿宋_GB2312" w:eastAsia="仿宋_GB2312" w:cs="仿宋_GB2312"/>
          <w:color w:val="auto"/>
          <w:sz w:val="32"/>
          <w:szCs w:val="32"/>
        </w:rPr>
        <w:t>经营过程中产生的房租、装修摊销、设备购置、食材成本、人工工资、社保、水电燃气、物业、垃圾清运、消杀、检测、维修、年检、税费等全部费用由</w:t>
      </w:r>
      <w:r>
        <w:rPr>
          <w:rFonts w:hint="eastAsia" w:ascii="仿宋_GB2312" w:hAnsi="仿宋_GB2312" w:eastAsia="仿宋_GB2312" w:cs="仿宋_GB2312"/>
          <w:color w:val="auto"/>
          <w:sz w:val="32"/>
          <w:szCs w:val="32"/>
          <w:lang w:eastAsia="zh-CN"/>
        </w:rPr>
        <w:t>服务商</w:t>
      </w:r>
      <w:r>
        <w:rPr>
          <w:rFonts w:hint="eastAsia" w:ascii="仿宋_GB2312" w:hAnsi="仿宋_GB2312" w:eastAsia="仿宋_GB2312" w:cs="仿宋_GB2312"/>
          <w:color w:val="auto"/>
          <w:sz w:val="32"/>
          <w:szCs w:val="32"/>
        </w:rPr>
        <w:t>自行承担。</w:t>
      </w:r>
    </w:p>
    <w:p w14:paraId="6ED6CF7C">
      <w:pPr>
        <w:keepNext w:val="0"/>
        <w:keepLines w:val="0"/>
        <w:pageBreakBefore w:val="0"/>
        <w:widowControl w:val="0"/>
        <w:kinsoku/>
        <w:wordWrap/>
        <w:overflowPunct/>
        <w:topLinePunct w:val="0"/>
        <w:autoSpaceDE/>
        <w:autoSpaceDN/>
        <w:bidi w:val="0"/>
        <w:adjustRightInd/>
        <w:snapToGrid/>
        <w:spacing w:line="560" w:lineRule="exact"/>
        <w:ind w:left="0" w:leftChars="0" w:firstLine="643" w:firstLineChars="200"/>
        <w:textAlignment w:val="auto"/>
        <w:rPr>
          <w:rFonts w:hint="eastAsia" w:ascii="仿宋_GB2312" w:hAnsi="仿宋_GB2312" w:eastAsia="仿宋_GB2312" w:cs="仿宋_GB2312"/>
          <w:b/>
          <w:bCs/>
          <w:color w:val="auto"/>
          <w:sz w:val="32"/>
          <w:szCs w:val="32"/>
        </w:rPr>
      </w:pPr>
      <w:r>
        <w:rPr>
          <w:rFonts w:hint="eastAsia" w:ascii="仿宋_GB2312" w:hAnsi="仿宋_GB2312" w:eastAsia="仿宋_GB2312" w:cs="仿宋_GB2312"/>
          <w:b/>
          <w:bCs/>
          <w:color w:val="auto"/>
          <w:sz w:val="32"/>
          <w:szCs w:val="32"/>
        </w:rPr>
        <w:t>五、经营管理要求</w:t>
      </w:r>
    </w:p>
    <w:p w14:paraId="27CCAFDD">
      <w:pPr>
        <w:keepNext w:val="0"/>
        <w:keepLines w:val="0"/>
        <w:pageBreakBefore w:val="0"/>
        <w:widowControl w:val="0"/>
        <w:kinsoku/>
        <w:wordWrap/>
        <w:overflowPunct/>
        <w:topLinePunct w:val="0"/>
        <w:autoSpaceDE/>
        <w:autoSpaceDN/>
        <w:bidi w:val="0"/>
        <w:adjustRightInd/>
        <w:snapToGrid/>
        <w:spacing w:line="560" w:lineRule="exact"/>
        <w:ind w:left="0" w:leftChars="0" w:firstLine="643" w:firstLineChars="200"/>
        <w:textAlignment w:val="auto"/>
        <w:rPr>
          <w:rFonts w:hint="eastAsia" w:ascii="仿宋_GB2312" w:hAnsi="仿宋_GB2312" w:eastAsia="仿宋_GB2312" w:cs="仿宋_GB2312"/>
          <w:b/>
          <w:bCs/>
          <w:color w:val="auto"/>
          <w:sz w:val="32"/>
          <w:szCs w:val="32"/>
        </w:rPr>
      </w:pPr>
      <w:r>
        <w:rPr>
          <w:rFonts w:hint="eastAsia" w:ascii="仿宋_GB2312" w:hAnsi="仿宋_GB2312" w:eastAsia="仿宋_GB2312" w:cs="仿宋_GB2312"/>
          <w:b/>
          <w:bCs/>
          <w:color w:val="auto"/>
          <w:sz w:val="32"/>
          <w:szCs w:val="32"/>
        </w:rPr>
        <w:t>（一）食堂经营管理</w:t>
      </w:r>
    </w:p>
    <w:p w14:paraId="6F2197A4">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1.</w:t>
      </w:r>
      <w:r>
        <w:rPr>
          <w:rFonts w:hint="eastAsia" w:ascii="仿宋_GB2312" w:hAnsi="仿宋_GB2312" w:eastAsia="仿宋_GB2312" w:cs="仿宋_GB2312"/>
          <w:color w:val="auto"/>
          <w:sz w:val="32"/>
          <w:szCs w:val="32"/>
          <w:lang w:eastAsia="zh-CN"/>
        </w:rPr>
        <w:t>服务商</w:t>
      </w:r>
      <w:r>
        <w:rPr>
          <w:rFonts w:hint="eastAsia" w:ascii="仿宋_GB2312" w:hAnsi="仿宋_GB2312" w:eastAsia="仿宋_GB2312" w:cs="仿宋_GB2312"/>
          <w:color w:val="auto"/>
          <w:sz w:val="32"/>
          <w:szCs w:val="32"/>
        </w:rPr>
        <w:t>负责院外食堂的日常经营管理，包括人员招聘、培训、考核、工资发放、社保缴纳、食品安全管理、原材料采购、加工制作、供餐配送、餐厅服务、清洁卫生、设备维护等。</w:t>
      </w:r>
    </w:p>
    <w:p w14:paraId="69FB9FE9">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2.</w:t>
      </w:r>
      <w:r>
        <w:rPr>
          <w:rFonts w:hint="eastAsia" w:ascii="仿宋_GB2312" w:hAnsi="仿宋_GB2312" w:eastAsia="仿宋_GB2312" w:cs="仿宋_GB2312"/>
          <w:color w:val="auto"/>
          <w:sz w:val="32"/>
          <w:szCs w:val="32"/>
          <w:lang w:eastAsia="zh-CN"/>
        </w:rPr>
        <w:t>服务商</w:t>
      </w:r>
      <w:r>
        <w:rPr>
          <w:rFonts w:hint="eastAsia" w:ascii="仿宋_GB2312" w:hAnsi="仿宋_GB2312" w:eastAsia="仿宋_GB2312" w:cs="仿宋_GB2312"/>
          <w:color w:val="auto"/>
          <w:sz w:val="32"/>
          <w:szCs w:val="32"/>
        </w:rPr>
        <w:t>须建立完善的食品安全管理制度、岗位职责、操作规程、进货查验制度、索证索票制度、留样制度、消毒制度、晨检制度、配送管理制度、投诉处理制度等，并报招标人备案。</w:t>
      </w:r>
    </w:p>
    <w:p w14:paraId="4465A70A">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3.</w:t>
      </w:r>
      <w:r>
        <w:rPr>
          <w:rFonts w:hint="eastAsia" w:ascii="仿宋_GB2312" w:hAnsi="仿宋_GB2312" w:eastAsia="仿宋_GB2312" w:cs="仿宋_GB2312"/>
          <w:color w:val="auto"/>
          <w:sz w:val="32"/>
          <w:szCs w:val="32"/>
          <w:lang w:eastAsia="zh-CN"/>
        </w:rPr>
        <w:t>服务商</w:t>
      </w:r>
      <w:r>
        <w:rPr>
          <w:rFonts w:hint="eastAsia" w:ascii="仿宋_GB2312" w:hAnsi="仿宋_GB2312" w:eastAsia="仿宋_GB2312" w:cs="仿宋_GB2312"/>
          <w:color w:val="auto"/>
          <w:sz w:val="32"/>
          <w:szCs w:val="32"/>
        </w:rPr>
        <w:t>须严格按照《中华人民共和国食品安全法》《餐饮服务食品安全操作规范》《食品安全地方标准 医疗机构营养健康食堂建设管理规范》等法规标准开展经营。</w:t>
      </w:r>
    </w:p>
    <w:p w14:paraId="0A1A7760">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4.</w:t>
      </w:r>
      <w:r>
        <w:rPr>
          <w:rFonts w:hint="eastAsia" w:ascii="仿宋_GB2312" w:hAnsi="仿宋_GB2312" w:eastAsia="仿宋_GB2312" w:cs="仿宋_GB2312"/>
          <w:color w:val="auto"/>
          <w:sz w:val="32"/>
          <w:szCs w:val="32"/>
          <w:lang w:eastAsia="zh-CN"/>
        </w:rPr>
        <w:t>服务商</w:t>
      </w:r>
      <w:r>
        <w:rPr>
          <w:rFonts w:hint="eastAsia" w:ascii="仿宋_GB2312" w:hAnsi="仿宋_GB2312" w:eastAsia="仿宋_GB2312" w:cs="仿宋_GB2312"/>
          <w:color w:val="auto"/>
          <w:sz w:val="32"/>
          <w:szCs w:val="32"/>
        </w:rPr>
        <w:t>须建设“明厨亮灶”系统，配置1080P摄像头和就餐区显示屏，并保证系统正常运行，接受招标人和监管部门监督。</w:t>
      </w:r>
    </w:p>
    <w:p w14:paraId="03B3C93E">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5.食堂菜谱一周内不重复，做到营养均衡、荤素搭配、价格合理，满足不同人群需求。</w:t>
      </w:r>
    </w:p>
    <w:p w14:paraId="4CA88308">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jc w:val="left"/>
        <w:textAlignment w:val="auto"/>
        <w:rPr>
          <w:rFonts w:hint="default"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6.服务商</w:t>
      </w:r>
      <w:r>
        <w:rPr>
          <w:rFonts w:hint="eastAsia" w:ascii="仿宋_GB2312" w:hAnsi="仿宋_GB2312" w:eastAsia="仿宋_GB2312" w:cs="仿宋_GB2312"/>
          <w:color w:val="auto"/>
          <w:sz w:val="32"/>
          <w:szCs w:val="32"/>
          <w:highlight w:val="none"/>
          <w:lang w:eastAsia="zh-CN"/>
        </w:rPr>
        <w:t>需</w:t>
      </w:r>
      <w:r>
        <w:rPr>
          <w:rFonts w:hint="eastAsia" w:ascii="仿宋_GB2312" w:hAnsi="仿宋_GB2312" w:eastAsia="仿宋_GB2312" w:cs="仿宋_GB2312"/>
          <w:color w:val="auto"/>
          <w:sz w:val="32"/>
          <w:szCs w:val="32"/>
          <w:highlight w:val="none"/>
        </w:rPr>
        <w:t>具备智慧餐饮服务能力，能独立搭建线上订餐系统（支持微信/支付宝/医院一卡通支付，数据同步延迟≤5分钟），实现职工餐提前预订、患者餐床边点餐</w:t>
      </w:r>
      <w:r>
        <w:rPr>
          <w:rFonts w:hint="eastAsia" w:ascii="仿宋_GB2312" w:hAnsi="仿宋_GB2312" w:eastAsia="仿宋_GB2312" w:cs="仿宋_GB2312"/>
          <w:color w:val="auto"/>
          <w:sz w:val="32"/>
          <w:szCs w:val="32"/>
          <w:highlight w:val="none"/>
          <w:lang w:eastAsia="zh-CN"/>
        </w:rPr>
        <w:t>，并</w:t>
      </w:r>
      <w:r>
        <w:rPr>
          <w:rFonts w:hint="eastAsia" w:ascii="仿宋_GB2312" w:hAnsi="仿宋_GB2312" w:eastAsia="仿宋_GB2312" w:cs="仿宋_GB2312"/>
          <w:color w:val="auto"/>
          <w:sz w:val="32"/>
          <w:szCs w:val="32"/>
          <w:highlight w:val="none"/>
          <w:lang w:val="en-US" w:eastAsia="zh-CN"/>
        </w:rPr>
        <w:t>自行</w:t>
      </w:r>
      <w:r>
        <w:rPr>
          <w:rFonts w:hint="eastAsia" w:ascii="仿宋_GB2312" w:hAnsi="仿宋_GB2312" w:eastAsia="仿宋_GB2312" w:cs="仿宋_GB2312"/>
          <w:color w:val="auto"/>
          <w:sz w:val="32"/>
          <w:szCs w:val="32"/>
          <w:highlight w:val="none"/>
          <w:lang w:eastAsia="zh-CN"/>
        </w:rPr>
        <w:t>承担系统维护费</w:t>
      </w:r>
      <w:r>
        <w:rPr>
          <w:rFonts w:hint="eastAsia" w:ascii="仿宋_GB2312" w:hAnsi="仿宋_GB2312" w:eastAsia="仿宋_GB2312" w:cs="仿宋_GB2312"/>
          <w:color w:val="auto"/>
          <w:sz w:val="32"/>
          <w:szCs w:val="32"/>
          <w:highlight w:val="none"/>
          <w:lang w:val="en-US" w:eastAsia="zh-CN"/>
        </w:rPr>
        <w:t>。若系统需要接入医院信息系统所需的费用由中标人自行负责。</w:t>
      </w:r>
    </w:p>
    <w:p w14:paraId="59AF3299">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highlight w:val="none"/>
          <w:lang w:val="en-US" w:eastAsia="zh-CN"/>
        </w:rPr>
        <w:t>7.</w:t>
      </w:r>
      <w:r>
        <w:rPr>
          <w:rFonts w:hint="eastAsia" w:ascii="仿宋_GB2312" w:hAnsi="仿宋_GB2312" w:eastAsia="仿宋_GB2312" w:cs="仿宋_GB2312"/>
          <w:color w:val="auto"/>
          <w:sz w:val="32"/>
          <w:szCs w:val="32"/>
          <w:highlight w:val="none"/>
          <w:lang w:eastAsia="zh-CN"/>
        </w:rPr>
        <w:t>服务商</w:t>
      </w:r>
      <w:r>
        <w:rPr>
          <w:rFonts w:hint="eastAsia" w:ascii="仿宋_GB2312" w:hAnsi="仿宋_GB2312" w:eastAsia="仿宋_GB2312" w:cs="仿宋_GB2312"/>
          <w:color w:val="auto"/>
          <w:sz w:val="32"/>
          <w:szCs w:val="32"/>
          <w:highlight w:val="none"/>
        </w:rPr>
        <w:t>须配合医院完成上级部门下达的营养健康食堂建设、扶贫产品采购、公共卫生任务</w:t>
      </w:r>
      <w:r>
        <w:rPr>
          <w:rFonts w:hint="eastAsia" w:ascii="仿宋_GB2312" w:hAnsi="仿宋_GB2312" w:eastAsia="仿宋_GB2312" w:cs="仿宋_GB2312"/>
          <w:color w:val="auto"/>
          <w:sz w:val="32"/>
          <w:szCs w:val="32"/>
        </w:rPr>
        <w:t>及其他相关工作。</w:t>
      </w:r>
    </w:p>
    <w:p w14:paraId="5E592EF0">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val="en-US" w:eastAsia="zh-CN"/>
        </w:rPr>
        <w:t>8</w:t>
      </w:r>
      <w:r>
        <w:rPr>
          <w:rFonts w:hint="eastAsia" w:ascii="仿宋_GB2312" w:hAnsi="仿宋_GB2312" w:eastAsia="仿宋_GB2312" w:cs="仿宋_GB2312"/>
          <w:color w:val="auto"/>
          <w:sz w:val="32"/>
          <w:szCs w:val="32"/>
          <w:highlight w:val="none"/>
        </w:rPr>
        <w:t>.</w:t>
      </w:r>
      <w:r>
        <w:rPr>
          <w:rFonts w:hint="eastAsia" w:ascii="仿宋_GB2312" w:hAnsi="仿宋_GB2312" w:eastAsia="仿宋_GB2312" w:cs="仿宋_GB2312"/>
          <w:color w:val="auto"/>
          <w:sz w:val="32"/>
          <w:szCs w:val="32"/>
          <w:highlight w:val="none"/>
          <w:lang w:eastAsia="zh-CN"/>
        </w:rPr>
        <w:t>服务商必须持有有效期内的《营业执照》《食品经营许可证》，经营范围涵盖餐饮服务、食品销售。服务商办理食堂经营许可证等所发生的一切费用由服务商自行承担。</w:t>
      </w:r>
    </w:p>
    <w:p w14:paraId="19BDB4B5">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en-US" w:eastAsia="zh-CN"/>
        </w:rPr>
        <w:t>9</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eastAsia="zh-CN"/>
        </w:rPr>
        <w:t>服务商</w:t>
      </w:r>
      <w:r>
        <w:rPr>
          <w:rFonts w:hint="eastAsia" w:ascii="仿宋_GB2312" w:hAnsi="仿宋_GB2312" w:eastAsia="仿宋_GB2312" w:cs="仿宋_GB2312"/>
          <w:color w:val="auto"/>
          <w:sz w:val="32"/>
          <w:szCs w:val="32"/>
        </w:rPr>
        <w:t>承包内容不含肠内营养配制。肠内营养的材料及配制和经营管理由招标人营养</w:t>
      </w:r>
      <w:r>
        <w:rPr>
          <w:rFonts w:hint="eastAsia" w:ascii="仿宋_GB2312" w:hAnsi="仿宋_GB2312" w:eastAsia="仿宋_GB2312" w:cs="仿宋_GB2312"/>
          <w:color w:val="auto"/>
          <w:sz w:val="32"/>
          <w:szCs w:val="32"/>
          <w:lang w:val="en-US" w:eastAsia="zh-CN"/>
        </w:rPr>
        <w:t>医学</w:t>
      </w:r>
      <w:r>
        <w:rPr>
          <w:rFonts w:hint="eastAsia" w:ascii="仿宋_GB2312" w:hAnsi="仿宋_GB2312" w:eastAsia="仿宋_GB2312" w:cs="仿宋_GB2312"/>
          <w:color w:val="auto"/>
          <w:sz w:val="32"/>
          <w:szCs w:val="32"/>
        </w:rPr>
        <w:t>科负责，配制完成后交由</w:t>
      </w:r>
      <w:r>
        <w:rPr>
          <w:rFonts w:hint="eastAsia" w:ascii="仿宋_GB2312" w:hAnsi="仿宋_GB2312" w:eastAsia="仿宋_GB2312" w:cs="仿宋_GB2312"/>
          <w:color w:val="auto"/>
          <w:sz w:val="32"/>
          <w:szCs w:val="32"/>
          <w:lang w:eastAsia="zh-CN"/>
        </w:rPr>
        <w:t>服务商</w:t>
      </w:r>
      <w:r>
        <w:rPr>
          <w:rFonts w:hint="eastAsia" w:ascii="仿宋_GB2312" w:hAnsi="仿宋_GB2312" w:eastAsia="仿宋_GB2312" w:cs="仿宋_GB2312"/>
          <w:color w:val="auto"/>
          <w:sz w:val="32"/>
          <w:szCs w:val="32"/>
        </w:rPr>
        <w:t>负责配送工作。</w:t>
      </w:r>
    </w:p>
    <w:p w14:paraId="58109BB9">
      <w:pPr>
        <w:pStyle w:val="3"/>
        <w:ind w:left="0" w:leftChars="0" w:firstLine="640" w:firstLineChars="200"/>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10.</w:t>
      </w:r>
      <w:r>
        <w:rPr>
          <w:rFonts w:hint="eastAsia" w:ascii="仿宋_GB2312" w:hAnsi="仿宋_GB2312" w:eastAsia="仿宋_GB2312" w:cs="仿宋_GB2312"/>
          <w:color w:val="auto"/>
          <w:sz w:val="32"/>
          <w:szCs w:val="32"/>
          <w:highlight w:val="none"/>
          <w:lang w:val="en-US" w:eastAsia="zh-CN"/>
        </w:rPr>
        <w:t>医院</w:t>
      </w:r>
      <w:r>
        <w:rPr>
          <w:rFonts w:hint="eastAsia" w:ascii="仿宋_GB2312" w:hAnsi="仿宋_GB2312" w:eastAsia="仿宋_GB2312" w:cs="仿宋_GB2312"/>
          <w:color w:val="auto"/>
          <w:sz w:val="32"/>
          <w:szCs w:val="32"/>
          <w:highlight w:val="none"/>
        </w:rPr>
        <w:t>职工伙食</w:t>
      </w:r>
      <w:r>
        <w:rPr>
          <w:rFonts w:hint="eastAsia" w:ascii="仿宋_GB2312" w:hAnsi="仿宋_GB2312" w:eastAsia="仿宋_GB2312" w:cs="仿宋_GB2312"/>
          <w:color w:val="auto"/>
          <w:sz w:val="32"/>
          <w:szCs w:val="32"/>
          <w:highlight w:val="none"/>
          <w:lang w:val="en-US" w:eastAsia="zh-CN"/>
        </w:rPr>
        <w:t>费用</w:t>
      </w:r>
      <w:r>
        <w:rPr>
          <w:rFonts w:hint="eastAsia" w:ascii="仿宋_GB2312" w:hAnsi="仿宋_GB2312" w:eastAsia="仿宋_GB2312" w:cs="仿宋_GB2312"/>
          <w:color w:val="auto"/>
          <w:sz w:val="32"/>
          <w:szCs w:val="32"/>
          <w:highlight w:val="none"/>
        </w:rPr>
        <w:t>与实际消费费用统一通过职工饭卡结算，由</w:t>
      </w:r>
      <w:r>
        <w:rPr>
          <w:rFonts w:hint="eastAsia" w:ascii="仿宋_GB2312" w:hAnsi="仿宋_GB2312" w:eastAsia="仿宋_GB2312" w:cs="仿宋_GB2312"/>
          <w:color w:val="auto"/>
          <w:sz w:val="32"/>
          <w:szCs w:val="32"/>
          <w:highlight w:val="none"/>
          <w:lang w:val="en-US" w:eastAsia="zh-CN"/>
        </w:rPr>
        <w:t>服务商</w:t>
      </w:r>
      <w:r>
        <w:rPr>
          <w:rFonts w:hint="eastAsia" w:ascii="仿宋_GB2312" w:hAnsi="仿宋_GB2312" w:eastAsia="仿宋_GB2312" w:cs="仿宋_GB2312"/>
          <w:color w:val="auto"/>
          <w:sz w:val="32"/>
          <w:szCs w:val="32"/>
          <w:highlight w:val="none"/>
        </w:rPr>
        <w:t>先行垫付伙食费用。每月1</w:t>
      </w:r>
      <w:r>
        <w:rPr>
          <w:rFonts w:hint="eastAsia" w:ascii="仿宋_GB2312" w:hAnsi="仿宋_GB2312" w:eastAsia="仿宋_GB2312" w:cs="仿宋_GB2312"/>
          <w:color w:val="auto"/>
          <w:sz w:val="32"/>
          <w:szCs w:val="32"/>
          <w:highlight w:val="none"/>
          <w:lang w:val="en-US" w:eastAsia="zh-CN"/>
        </w:rPr>
        <w:t>0</w:t>
      </w:r>
      <w:r>
        <w:rPr>
          <w:rFonts w:hint="eastAsia" w:ascii="仿宋_GB2312" w:hAnsi="仿宋_GB2312" w:eastAsia="仿宋_GB2312" w:cs="仿宋_GB2312"/>
          <w:color w:val="auto"/>
          <w:sz w:val="32"/>
          <w:szCs w:val="32"/>
          <w:highlight w:val="none"/>
        </w:rPr>
        <w:t>日之前（如遇法定节假日顺延至其后第一个工作日），</w:t>
      </w:r>
      <w:r>
        <w:rPr>
          <w:rFonts w:hint="eastAsia" w:ascii="仿宋_GB2312" w:hAnsi="仿宋_GB2312" w:eastAsia="仿宋_GB2312" w:cs="仿宋_GB2312"/>
          <w:color w:val="auto"/>
          <w:sz w:val="32"/>
          <w:szCs w:val="32"/>
          <w:highlight w:val="none"/>
          <w:lang w:val="en-US" w:eastAsia="zh-CN"/>
        </w:rPr>
        <w:t>服务商</w:t>
      </w:r>
      <w:r>
        <w:rPr>
          <w:rFonts w:hint="eastAsia" w:ascii="仿宋_GB2312" w:hAnsi="仿宋_GB2312" w:eastAsia="仿宋_GB2312" w:cs="仿宋_GB2312"/>
          <w:color w:val="auto"/>
          <w:sz w:val="32"/>
          <w:szCs w:val="32"/>
          <w:highlight w:val="none"/>
        </w:rPr>
        <w:t>向</w:t>
      </w:r>
      <w:r>
        <w:rPr>
          <w:rFonts w:hint="eastAsia" w:ascii="仿宋_GB2312" w:hAnsi="仿宋_GB2312" w:eastAsia="仿宋_GB2312" w:cs="仿宋_GB2312"/>
          <w:color w:val="auto"/>
          <w:sz w:val="32"/>
          <w:szCs w:val="32"/>
          <w:highlight w:val="none"/>
          <w:lang w:val="en-US" w:eastAsia="zh-CN"/>
        </w:rPr>
        <w:t>甲方</w:t>
      </w:r>
      <w:r>
        <w:rPr>
          <w:rFonts w:hint="eastAsia" w:ascii="仿宋_GB2312" w:hAnsi="仿宋_GB2312" w:eastAsia="仿宋_GB2312" w:cs="仿宋_GB2312"/>
          <w:color w:val="auto"/>
          <w:sz w:val="32"/>
          <w:szCs w:val="32"/>
          <w:highlight w:val="none"/>
        </w:rPr>
        <w:t>提交上一个月的职工伙食</w:t>
      </w:r>
      <w:bookmarkStart w:id="2" w:name="_GoBack"/>
      <w:bookmarkEnd w:id="2"/>
      <w:r>
        <w:rPr>
          <w:rFonts w:hint="eastAsia" w:ascii="仿宋_GB2312" w:hAnsi="仿宋_GB2312" w:eastAsia="仿宋_GB2312" w:cs="仿宋_GB2312"/>
          <w:color w:val="auto"/>
          <w:sz w:val="32"/>
          <w:szCs w:val="32"/>
          <w:highlight w:val="none"/>
          <w:lang w:val="en-US" w:eastAsia="zh-CN"/>
        </w:rPr>
        <w:t>费用</w:t>
      </w:r>
      <w:r>
        <w:rPr>
          <w:rFonts w:hint="eastAsia" w:ascii="仿宋_GB2312" w:hAnsi="仿宋_GB2312" w:eastAsia="仿宋_GB2312" w:cs="仿宋_GB2312"/>
          <w:color w:val="auto"/>
          <w:sz w:val="32"/>
          <w:szCs w:val="32"/>
          <w:highlight w:val="none"/>
        </w:rPr>
        <w:t>相关明细，经</w:t>
      </w:r>
      <w:r>
        <w:rPr>
          <w:rFonts w:hint="eastAsia" w:ascii="仿宋_GB2312" w:hAnsi="仿宋_GB2312" w:eastAsia="仿宋_GB2312" w:cs="仿宋_GB2312"/>
          <w:color w:val="auto"/>
          <w:sz w:val="32"/>
          <w:szCs w:val="32"/>
          <w:highlight w:val="none"/>
          <w:lang w:val="en-US" w:eastAsia="zh-CN"/>
        </w:rPr>
        <w:t>医院</w:t>
      </w:r>
      <w:r>
        <w:rPr>
          <w:rFonts w:hint="eastAsia" w:ascii="仿宋_GB2312" w:hAnsi="仿宋_GB2312" w:eastAsia="仿宋_GB2312" w:cs="仿宋_GB2312"/>
          <w:color w:val="auto"/>
          <w:sz w:val="32"/>
          <w:szCs w:val="32"/>
          <w:highlight w:val="none"/>
        </w:rPr>
        <w:t>相关部门审核后</w:t>
      </w:r>
      <w:r>
        <w:rPr>
          <w:rFonts w:hint="eastAsia" w:ascii="仿宋_GB2312" w:hAnsi="仿宋_GB2312" w:eastAsia="仿宋_GB2312" w:cs="仿宋_GB2312"/>
          <w:color w:val="auto"/>
          <w:sz w:val="32"/>
          <w:szCs w:val="32"/>
          <w:highlight w:val="none"/>
          <w:lang w:val="en-US" w:eastAsia="zh-CN"/>
        </w:rPr>
        <w:t>5</w:t>
      </w:r>
      <w:r>
        <w:rPr>
          <w:rFonts w:hint="eastAsia" w:ascii="仿宋_GB2312" w:hAnsi="仿宋_GB2312" w:eastAsia="仿宋_GB2312" w:cs="仿宋_GB2312"/>
          <w:color w:val="auto"/>
          <w:sz w:val="32"/>
          <w:szCs w:val="32"/>
          <w:highlight w:val="none"/>
        </w:rPr>
        <w:t>个工作日内，</w:t>
      </w:r>
      <w:r>
        <w:rPr>
          <w:rFonts w:hint="eastAsia" w:ascii="仿宋_GB2312" w:hAnsi="仿宋_GB2312" w:eastAsia="仿宋_GB2312" w:cs="仿宋_GB2312"/>
          <w:color w:val="auto"/>
          <w:sz w:val="32"/>
          <w:szCs w:val="32"/>
          <w:highlight w:val="none"/>
          <w:lang w:val="en-US" w:eastAsia="zh-CN"/>
        </w:rPr>
        <w:t>服务商</w:t>
      </w:r>
      <w:r>
        <w:rPr>
          <w:rFonts w:hint="eastAsia" w:ascii="仿宋_GB2312" w:hAnsi="仿宋_GB2312" w:eastAsia="仿宋_GB2312" w:cs="仿宋_GB2312"/>
          <w:color w:val="auto"/>
          <w:sz w:val="32"/>
          <w:szCs w:val="32"/>
          <w:highlight w:val="none"/>
        </w:rPr>
        <w:t>开具增值税专用发票进行结算，</w:t>
      </w:r>
      <w:r>
        <w:rPr>
          <w:rFonts w:hint="eastAsia" w:ascii="仿宋_GB2312" w:hAnsi="仿宋_GB2312" w:eastAsia="仿宋_GB2312" w:cs="仿宋_GB2312"/>
          <w:color w:val="auto"/>
          <w:sz w:val="32"/>
          <w:szCs w:val="32"/>
          <w:highlight w:val="none"/>
          <w:lang w:val="en-US" w:eastAsia="zh-CN"/>
        </w:rPr>
        <w:t>医院</w:t>
      </w:r>
      <w:r>
        <w:rPr>
          <w:rFonts w:hint="eastAsia" w:ascii="仿宋_GB2312" w:hAnsi="仿宋_GB2312" w:eastAsia="仿宋_GB2312" w:cs="仿宋_GB2312"/>
          <w:color w:val="auto"/>
          <w:sz w:val="32"/>
          <w:szCs w:val="32"/>
          <w:highlight w:val="none"/>
        </w:rPr>
        <w:t>完成审批后</w:t>
      </w:r>
      <w:r>
        <w:rPr>
          <w:rFonts w:hint="eastAsia" w:ascii="仿宋_GB2312" w:hAnsi="仿宋_GB2312" w:eastAsia="仿宋_GB2312" w:cs="仿宋_GB2312"/>
          <w:color w:val="auto"/>
          <w:sz w:val="32"/>
          <w:szCs w:val="32"/>
          <w:highlight w:val="none"/>
          <w:lang w:val="en-US" w:eastAsia="zh-CN"/>
        </w:rPr>
        <w:t>10</w:t>
      </w:r>
      <w:r>
        <w:rPr>
          <w:rFonts w:hint="eastAsia" w:ascii="仿宋_GB2312" w:hAnsi="仿宋_GB2312" w:eastAsia="仿宋_GB2312" w:cs="仿宋_GB2312"/>
          <w:color w:val="auto"/>
          <w:sz w:val="32"/>
          <w:szCs w:val="32"/>
          <w:highlight w:val="none"/>
        </w:rPr>
        <w:t>个</w:t>
      </w:r>
      <w:r>
        <w:rPr>
          <w:rFonts w:hint="eastAsia" w:ascii="仿宋_GB2312" w:hAnsi="仿宋_GB2312" w:eastAsia="仿宋_GB2312" w:cs="仿宋_GB2312"/>
          <w:color w:val="auto"/>
          <w:sz w:val="32"/>
          <w:szCs w:val="32"/>
          <w:highlight w:val="none"/>
          <w:lang w:val="en-US" w:eastAsia="zh-CN"/>
        </w:rPr>
        <w:t>工作日</w:t>
      </w:r>
      <w:r>
        <w:rPr>
          <w:rFonts w:hint="eastAsia" w:ascii="仿宋_GB2312" w:hAnsi="仿宋_GB2312" w:eastAsia="仿宋_GB2312" w:cs="仿宋_GB2312"/>
          <w:color w:val="auto"/>
          <w:sz w:val="32"/>
          <w:szCs w:val="32"/>
          <w:highlight w:val="none"/>
        </w:rPr>
        <w:t>内将相应款项支付至</w:t>
      </w:r>
      <w:r>
        <w:rPr>
          <w:rFonts w:hint="eastAsia" w:ascii="仿宋_GB2312" w:hAnsi="仿宋_GB2312" w:eastAsia="仿宋_GB2312" w:cs="仿宋_GB2312"/>
          <w:color w:val="auto"/>
          <w:sz w:val="32"/>
          <w:szCs w:val="32"/>
          <w:highlight w:val="none"/>
          <w:lang w:val="en-US" w:eastAsia="zh-CN"/>
        </w:rPr>
        <w:t>乙方</w:t>
      </w:r>
      <w:r>
        <w:rPr>
          <w:rFonts w:hint="eastAsia" w:ascii="仿宋_GB2312" w:hAnsi="仿宋_GB2312" w:eastAsia="仿宋_GB2312" w:cs="仿宋_GB2312"/>
          <w:color w:val="auto"/>
          <w:sz w:val="32"/>
          <w:szCs w:val="32"/>
          <w:highlight w:val="none"/>
        </w:rPr>
        <w:t>账户。</w:t>
      </w:r>
    </w:p>
    <w:p w14:paraId="625240B1">
      <w:pPr>
        <w:keepNext w:val="0"/>
        <w:keepLines w:val="0"/>
        <w:pageBreakBefore w:val="0"/>
        <w:widowControl w:val="0"/>
        <w:kinsoku/>
        <w:wordWrap/>
        <w:overflowPunct/>
        <w:topLinePunct w:val="0"/>
        <w:autoSpaceDE/>
        <w:autoSpaceDN/>
        <w:bidi w:val="0"/>
        <w:adjustRightInd/>
        <w:snapToGrid/>
        <w:spacing w:line="560" w:lineRule="exact"/>
        <w:ind w:left="0" w:leftChars="0" w:firstLine="643" w:firstLineChars="200"/>
        <w:textAlignment w:val="auto"/>
        <w:rPr>
          <w:rFonts w:hint="eastAsia" w:ascii="仿宋_GB2312" w:hAnsi="仿宋_GB2312" w:eastAsia="仿宋_GB2312" w:cs="仿宋_GB2312"/>
          <w:b/>
          <w:bCs/>
          <w:color w:val="auto"/>
          <w:sz w:val="32"/>
          <w:szCs w:val="32"/>
        </w:rPr>
      </w:pPr>
      <w:r>
        <w:rPr>
          <w:rFonts w:hint="eastAsia" w:ascii="仿宋_GB2312" w:hAnsi="仿宋_GB2312" w:eastAsia="仿宋_GB2312" w:cs="仿宋_GB2312"/>
          <w:b/>
          <w:bCs/>
          <w:color w:val="auto"/>
          <w:sz w:val="32"/>
          <w:szCs w:val="32"/>
        </w:rPr>
        <w:t>（二）体检中心、</w:t>
      </w:r>
      <w:r>
        <w:rPr>
          <w:rFonts w:hint="eastAsia" w:ascii="仿宋_GB2312" w:hAnsi="仿宋_GB2312" w:eastAsia="仿宋_GB2312" w:cs="仿宋_GB2312"/>
          <w:b/>
          <w:bCs/>
          <w:color w:val="auto"/>
          <w:sz w:val="32"/>
          <w:szCs w:val="32"/>
          <w:highlight w:val="none"/>
        </w:rPr>
        <w:t>门诊一楼</w:t>
      </w:r>
      <w:r>
        <w:rPr>
          <w:rFonts w:hint="eastAsia" w:ascii="仿宋_GB2312" w:hAnsi="仿宋_GB2312" w:eastAsia="仿宋_GB2312" w:cs="仿宋_GB2312"/>
          <w:b/>
          <w:bCs/>
          <w:color w:val="auto"/>
          <w:sz w:val="32"/>
          <w:szCs w:val="32"/>
        </w:rPr>
        <w:t>及病区餐食供应</w:t>
      </w:r>
    </w:p>
    <w:p w14:paraId="7BD71202">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1.医院提供体检中心、门诊一楼指定用餐区域及相关基础条件，</w:t>
      </w:r>
      <w:r>
        <w:rPr>
          <w:rFonts w:hint="eastAsia" w:ascii="仿宋_GB2312" w:hAnsi="仿宋_GB2312" w:eastAsia="仿宋_GB2312" w:cs="仿宋_GB2312"/>
          <w:color w:val="auto"/>
          <w:sz w:val="32"/>
          <w:szCs w:val="32"/>
          <w:lang w:eastAsia="zh-CN"/>
        </w:rPr>
        <w:t>服务商</w:t>
      </w:r>
      <w:r>
        <w:rPr>
          <w:rFonts w:hint="eastAsia" w:ascii="仿宋_GB2312" w:hAnsi="仿宋_GB2312" w:eastAsia="仿宋_GB2312" w:cs="仿宋_GB2312"/>
          <w:color w:val="auto"/>
          <w:sz w:val="32"/>
          <w:szCs w:val="32"/>
        </w:rPr>
        <w:t>负责餐食制作、配送、现场服务及餐后清理。</w:t>
      </w:r>
    </w:p>
    <w:p w14:paraId="2DFAAE65">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2.供餐和配送过程中，</w:t>
      </w:r>
      <w:r>
        <w:rPr>
          <w:rFonts w:hint="eastAsia" w:ascii="仿宋_GB2312" w:hAnsi="仿宋_GB2312" w:eastAsia="仿宋_GB2312" w:cs="仿宋_GB2312"/>
          <w:color w:val="auto"/>
          <w:sz w:val="32"/>
          <w:szCs w:val="32"/>
          <w:lang w:eastAsia="zh-CN"/>
        </w:rPr>
        <w:t>服务商</w:t>
      </w:r>
      <w:r>
        <w:rPr>
          <w:rFonts w:hint="eastAsia" w:ascii="仿宋_GB2312" w:hAnsi="仿宋_GB2312" w:eastAsia="仿宋_GB2312" w:cs="仿宋_GB2312"/>
          <w:color w:val="auto"/>
          <w:sz w:val="32"/>
          <w:szCs w:val="32"/>
        </w:rPr>
        <w:t>不得在医院指定区域使用明火；医院提供场地、水、电等基础条件的，</w:t>
      </w:r>
      <w:r>
        <w:rPr>
          <w:rFonts w:hint="eastAsia" w:ascii="仿宋_GB2312" w:hAnsi="仿宋_GB2312" w:eastAsia="仿宋_GB2312" w:cs="仿宋_GB2312"/>
          <w:color w:val="auto"/>
          <w:sz w:val="32"/>
          <w:szCs w:val="32"/>
          <w:lang w:eastAsia="zh-CN"/>
        </w:rPr>
        <w:t>服务商</w:t>
      </w:r>
      <w:r>
        <w:rPr>
          <w:rFonts w:hint="eastAsia" w:ascii="仿宋_GB2312" w:hAnsi="仿宋_GB2312" w:eastAsia="仿宋_GB2312" w:cs="仿宋_GB2312"/>
          <w:color w:val="auto"/>
          <w:sz w:val="32"/>
          <w:szCs w:val="32"/>
        </w:rPr>
        <w:t>须合理使用并承担相应管理责任。</w:t>
      </w:r>
    </w:p>
    <w:p w14:paraId="657BC3F0">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3.</w:t>
      </w:r>
      <w:r>
        <w:rPr>
          <w:rFonts w:hint="eastAsia" w:ascii="仿宋_GB2312" w:hAnsi="仿宋_GB2312" w:eastAsia="仿宋_GB2312" w:cs="仿宋_GB2312"/>
          <w:color w:val="auto"/>
          <w:sz w:val="32"/>
          <w:szCs w:val="32"/>
          <w:lang w:eastAsia="zh-CN"/>
        </w:rPr>
        <w:t>服务商</w:t>
      </w:r>
      <w:r>
        <w:rPr>
          <w:rFonts w:hint="eastAsia" w:ascii="仿宋_GB2312" w:hAnsi="仿宋_GB2312" w:eastAsia="仿宋_GB2312" w:cs="仿宋_GB2312"/>
          <w:color w:val="auto"/>
          <w:sz w:val="32"/>
          <w:szCs w:val="32"/>
        </w:rPr>
        <w:t>须根据医院要求配备服务人员，保障体检中心、门诊一楼餐食供应正常开展。</w:t>
      </w:r>
    </w:p>
    <w:p w14:paraId="5CABA03D">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4.</w:t>
      </w:r>
      <w:r>
        <w:rPr>
          <w:rFonts w:hint="eastAsia" w:ascii="仿宋_GB2312" w:hAnsi="仿宋_GB2312" w:eastAsia="仿宋_GB2312" w:cs="仿宋_GB2312"/>
          <w:color w:val="auto"/>
          <w:sz w:val="32"/>
          <w:szCs w:val="32"/>
          <w:lang w:eastAsia="zh-CN"/>
        </w:rPr>
        <w:t>服务商</w:t>
      </w:r>
      <w:r>
        <w:rPr>
          <w:rFonts w:hint="eastAsia" w:ascii="仿宋_GB2312" w:hAnsi="仿宋_GB2312" w:eastAsia="仿宋_GB2312" w:cs="仿宋_GB2312"/>
          <w:color w:val="auto"/>
          <w:sz w:val="32"/>
          <w:szCs w:val="32"/>
        </w:rPr>
        <w:t>须配备专职送餐人员，负责住院患者、职工及其他指定对象的餐食配送，配送范围以医院实际管理要求为准。</w:t>
      </w:r>
    </w:p>
    <w:p w14:paraId="065505D7">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5.</w:t>
      </w:r>
      <w:r>
        <w:rPr>
          <w:rFonts w:hint="eastAsia" w:ascii="仿宋_GB2312" w:hAnsi="仿宋_GB2312" w:eastAsia="仿宋_GB2312" w:cs="仿宋_GB2312"/>
          <w:color w:val="auto"/>
          <w:sz w:val="32"/>
          <w:szCs w:val="32"/>
          <w:lang w:val="en-US" w:eastAsia="zh-CN"/>
        </w:rPr>
        <w:t>配合医院日常诊疗工作需要，制定合理</w:t>
      </w:r>
      <w:r>
        <w:rPr>
          <w:rFonts w:hint="eastAsia" w:ascii="仿宋_GB2312" w:hAnsi="仿宋_GB2312" w:eastAsia="仿宋_GB2312" w:cs="仿宋_GB2312"/>
          <w:color w:val="auto"/>
          <w:sz w:val="32"/>
          <w:szCs w:val="32"/>
        </w:rPr>
        <w:t>送餐时间。</w:t>
      </w:r>
      <w:r>
        <w:rPr>
          <w:rFonts w:hint="eastAsia" w:ascii="仿宋_GB2312" w:hAnsi="仿宋_GB2312" w:eastAsia="仿宋_GB2312" w:cs="仿宋_GB2312"/>
          <w:color w:val="auto"/>
          <w:sz w:val="32"/>
          <w:szCs w:val="32"/>
          <w:lang w:eastAsia="zh-CN"/>
        </w:rPr>
        <w:t>服务商</w:t>
      </w:r>
      <w:r>
        <w:rPr>
          <w:rFonts w:hint="eastAsia" w:ascii="仿宋_GB2312" w:hAnsi="仿宋_GB2312" w:eastAsia="仿宋_GB2312" w:cs="仿宋_GB2312"/>
          <w:color w:val="auto"/>
          <w:sz w:val="32"/>
          <w:szCs w:val="32"/>
        </w:rPr>
        <w:t>须保证餐食准时、保温、安全送达。</w:t>
      </w:r>
    </w:p>
    <w:p w14:paraId="77EDD8A5">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6.</w:t>
      </w:r>
      <w:r>
        <w:rPr>
          <w:rFonts w:hint="eastAsia" w:ascii="仿宋_GB2312" w:hAnsi="仿宋_GB2312" w:eastAsia="仿宋_GB2312" w:cs="仿宋_GB2312"/>
          <w:color w:val="auto"/>
          <w:sz w:val="32"/>
          <w:szCs w:val="32"/>
          <w:lang w:eastAsia="zh-CN"/>
        </w:rPr>
        <w:t>服务商</w:t>
      </w:r>
      <w:r>
        <w:rPr>
          <w:rFonts w:hint="eastAsia" w:ascii="仿宋_GB2312" w:hAnsi="仿宋_GB2312" w:eastAsia="仿宋_GB2312" w:cs="仿宋_GB2312"/>
          <w:color w:val="auto"/>
          <w:sz w:val="32"/>
          <w:szCs w:val="32"/>
        </w:rPr>
        <w:t>须使用符合食品安全要求的保温箱、配送容器和交通工具，配送过程须做到密闭、防污染、防交叉感染，并建立配送记录。</w:t>
      </w:r>
    </w:p>
    <w:p w14:paraId="6AA89F0F">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default"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7.</w:t>
      </w:r>
      <w:r>
        <w:rPr>
          <w:rFonts w:hint="eastAsia" w:ascii="仿宋_GB2312" w:hAnsi="仿宋_GB2312" w:eastAsia="仿宋_GB2312" w:cs="仿宋_GB2312"/>
          <w:color w:val="auto"/>
          <w:sz w:val="32"/>
          <w:szCs w:val="32"/>
          <w:highlight w:val="none"/>
          <w:lang w:eastAsia="zh-CN"/>
        </w:rPr>
        <w:t>服务商必须持有有效期内的《营业执照》《食品经营许可证》，经营范围涵盖餐饮服务、食品销售。服务商办理食堂经营许可证等所发生的一切费用由服务商自行承担。</w:t>
      </w:r>
    </w:p>
    <w:p w14:paraId="23D3E096">
      <w:pPr>
        <w:keepNext w:val="0"/>
        <w:keepLines w:val="0"/>
        <w:pageBreakBefore w:val="0"/>
        <w:widowControl w:val="0"/>
        <w:kinsoku/>
        <w:wordWrap/>
        <w:overflowPunct/>
        <w:topLinePunct w:val="0"/>
        <w:autoSpaceDE/>
        <w:autoSpaceDN/>
        <w:bidi w:val="0"/>
        <w:adjustRightInd/>
        <w:snapToGrid/>
        <w:spacing w:line="560" w:lineRule="exact"/>
        <w:ind w:left="0" w:leftChars="0" w:firstLine="643" w:firstLineChars="200"/>
        <w:textAlignment w:val="auto"/>
        <w:rPr>
          <w:rFonts w:hint="eastAsia" w:ascii="仿宋_GB2312" w:hAnsi="仿宋_GB2312" w:eastAsia="仿宋_GB2312" w:cs="仿宋_GB2312"/>
          <w:b/>
          <w:bCs/>
          <w:color w:val="auto"/>
          <w:sz w:val="32"/>
          <w:szCs w:val="32"/>
        </w:rPr>
      </w:pPr>
      <w:r>
        <w:rPr>
          <w:rFonts w:hint="eastAsia" w:ascii="仿宋_GB2312" w:hAnsi="仿宋_GB2312" w:eastAsia="仿宋_GB2312" w:cs="仿宋_GB2312"/>
          <w:b/>
          <w:bCs/>
          <w:color w:val="auto"/>
          <w:sz w:val="32"/>
          <w:szCs w:val="32"/>
        </w:rPr>
        <w:t>（三）</w:t>
      </w:r>
      <w:r>
        <w:rPr>
          <w:rFonts w:hint="eastAsia" w:ascii="仿宋_GB2312" w:hAnsi="仿宋_GB2312" w:eastAsia="仿宋_GB2312" w:cs="仿宋_GB2312"/>
          <w:b/>
          <w:bCs/>
          <w:color w:val="auto"/>
          <w:sz w:val="32"/>
          <w:szCs w:val="32"/>
          <w:highlight w:val="none"/>
          <w:lang w:val="en-US" w:eastAsia="zh-CN"/>
        </w:rPr>
        <w:t>小卖部</w:t>
      </w:r>
      <w:r>
        <w:rPr>
          <w:rFonts w:hint="eastAsia" w:ascii="仿宋_GB2312" w:hAnsi="仿宋_GB2312" w:eastAsia="仿宋_GB2312" w:cs="仿宋_GB2312"/>
          <w:b/>
          <w:bCs/>
          <w:color w:val="auto"/>
          <w:sz w:val="32"/>
          <w:szCs w:val="32"/>
        </w:rPr>
        <w:t>经营管理</w:t>
      </w:r>
    </w:p>
    <w:p w14:paraId="55158D8D">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1.</w:t>
      </w:r>
      <w:r>
        <w:rPr>
          <w:rFonts w:hint="eastAsia" w:ascii="仿宋_GB2312" w:hAnsi="仿宋_GB2312" w:eastAsia="仿宋_GB2312" w:cs="仿宋_GB2312"/>
          <w:color w:val="auto"/>
          <w:sz w:val="32"/>
          <w:szCs w:val="32"/>
          <w:lang w:val="en-US" w:eastAsia="zh-CN"/>
        </w:rPr>
        <w:t>小卖部</w:t>
      </w:r>
      <w:r>
        <w:rPr>
          <w:rFonts w:hint="eastAsia" w:ascii="仿宋_GB2312" w:hAnsi="仿宋_GB2312" w:eastAsia="仿宋_GB2312" w:cs="仿宋_GB2312"/>
          <w:color w:val="auto"/>
          <w:sz w:val="32"/>
          <w:szCs w:val="32"/>
        </w:rPr>
        <w:t>主要服务医院职工、住院患者及陪护人员。</w:t>
      </w:r>
    </w:p>
    <w:p w14:paraId="1FC48397">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2.</w:t>
      </w:r>
      <w:r>
        <w:rPr>
          <w:rFonts w:hint="eastAsia" w:ascii="仿宋_GB2312" w:hAnsi="仿宋_GB2312" w:eastAsia="仿宋_GB2312" w:cs="仿宋_GB2312"/>
          <w:color w:val="auto"/>
          <w:sz w:val="32"/>
          <w:szCs w:val="32"/>
          <w:lang w:val="en-US" w:eastAsia="zh-CN"/>
        </w:rPr>
        <w:t>小卖部</w:t>
      </w:r>
      <w:r>
        <w:rPr>
          <w:rFonts w:hint="eastAsia" w:ascii="仿宋_GB2312" w:hAnsi="仿宋_GB2312" w:eastAsia="仿宋_GB2312" w:cs="仿宋_GB2312"/>
          <w:color w:val="auto"/>
          <w:sz w:val="32"/>
          <w:szCs w:val="32"/>
        </w:rPr>
        <w:t>商品品种、售价、进货渠道、供应商资质须报招标人审核同意后方可上架销售。</w:t>
      </w:r>
    </w:p>
    <w:p w14:paraId="6D671A04">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3.</w:t>
      </w:r>
      <w:r>
        <w:rPr>
          <w:rFonts w:hint="eastAsia" w:ascii="仿宋_GB2312" w:hAnsi="仿宋_GB2312" w:eastAsia="仿宋_GB2312" w:cs="仿宋_GB2312"/>
          <w:color w:val="auto"/>
          <w:sz w:val="32"/>
          <w:szCs w:val="32"/>
          <w:lang w:val="en-US" w:eastAsia="zh-CN"/>
        </w:rPr>
        <w:t>小卖部</w:t>
      </w:r>
      <w:r>
        <w:rPr>
          <w:rFonts w:hint="eastAsia" w:ascii="仿宋_GB2312" w:hAnsi="仿宋_GB2312" w:eastAsia="仿宋_GB2312" w:cs="仿宋_GB2312"/>
          <w:color w:val="auto"/>
          <w:sz w:val="32"/>
          <w:szCs w:val="32"/>
        </w:rPr>
        <w:t>不得销售烟、酒、医疗用品、医疗耗材、过期食品、三无产品、违禁品及殡葬用品，不得强制或诱导消费。</w:t>
      </w:r>
    </w:p>
    <w:p w14:paraId="73597BB5">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4.</w:t>
      </w:r>
      <w:r>
        <w:rPr>
          <w:rFonts w:hint="eastAsia" w:ascii="仿宋_GB2312" w:hAnsi="仿宋_GB2312" w:eastAsia="仿宋_GB2312" w:cs="仿宋_GB2312"/>
          <w:color w:val="auto"/>
          <w:sz w:val="32"/>
          <w:szCs w:val="32"/>
          <w:lang w:val="en-US" w:eastAsia="zh-CN"/>
        </w:rPr>
        <w:t>小卖部</w:t>
      </w:r>
      <w:r>
        <w:rPr>
          <w:rFonts w:hint="eastAsia" w:ascii="仿宋_GB2312" w:hAnsi="仿宋_GB2312" w:eastAsia="仿宋_GB2312" w:cs="仿宋_GB2312"/>
          <w:color w:val="auto"/>
          <w:sz w:val="32"/>
          <w:szCs w:val="32"/>
        </w:rPr>
        <w:t>须明码标价，建立进货查验、索证索票、台账登记、临期商品管理和投诉处理制度。</w:t>
      </w:r>
    </w:p>
    <w:p w14:paraId="6D7C616D">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5.</w:t>
      </w:r>
      <w:r>
        <w:rPr>
          <w:rFonts w:hint="eastAsia" w:ascii="仿宋_GB2312" w:hAnsi="仿宋_GB2312" w:eastAsia="仿宋_GB2312" w:cs="仿宋_GB2312"/>
          <w:color w:val="auto"/>
          <w:sz w:val="32"/>
          <w:szCs w:val="32"/>
          <w:lang w:val="en-US" w:eastAsia="zh-CN"/>
        </w:rPr>
        <w:t>小卖部</w:t>
      </w:r>
      <w:r>
        <w:rPr>
          <w:rFonts w:hint="eastAsia" w:ascii="仿宋_GB2312" w:hAnsi="仿宋_GB2312" w:eastAsia="仿宋_GB2312" w:cs="仿宋_GB2312"/>
          <w:color w:val="auto"/>
          <w:sz w:val="32"/>
          <w:szCs w:val="32"/>
        </w:rPr>
        <w:t>经营时间须与医院就餐及陪护需求相匹配，具体营业时间由</w:t>
      </w:r>
      <w:r>
        <w:rPr>
          <w:rFonts w:hint="eastAsia" w:ascii="仿宋_GB2312" w:hAnsi="仿宋_GB2312" w:eastAsia="仿宋_GB2312" w:cs="仿宋_GB2312"/>
          <w:color w:val="auto"/>
          <w:sz w:val="32"/>
          <w:szCs w:val="32"/>
          <w:lang w:eastAsia="zh-CN"/>
        </w:rPr>
        <w:t>服务商</w:t>
      </w:r>
      <w:r>
        <w:rPr>
          <w:rFonts w:hint="eastAsia" w:ascii="仿宋_GB2312" w:hAnsi="仿宋_GB2312" w:eastAsia="仿宋_GB2312" w:cs="仿宋_GB2312"/>
          <w:color w:val="auto"/>
          <w:sz w:val="32"/>
          <w:szCs w:val="32"/>
        </w:rPr>
        <w:t>结合医院实际提出，报招标人确认后执行。</w:t>
      </w:r>
    </w:p>
    <w:p w14:paraId="74538DB6">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val="en-US" w:eastAsia="zh-CN"/>
        </w:rPr>
        <w:t>6</w:t>
      </w:r>
      <w:r>
        <w:rPr>
          <w:rFonts w:hint="eastAsia" w:ascii="仿宋_GB2312" w:hAnsi="仿宋_GB2312" w:eastAsia="仿宋_GB2312" w:cs="仿宋_GB2312"/>
          <w:color w:val="auto"/>
          <w:sz w:val="32"/>
          <w:szCs w:val="32"/>
          <w:highlight w:val="none"/>
        </w:rPr>
        <w:t>.</w:t>
      </w:r>
      <w:r>
        <w:rPr>
          <w:rFonts w:hint="eastAsia" w:ascii="仿宋_GB2312" w:hAnsi="仿宋_GB2312" w:eastAsia="仿宋_GB2312" w:cs="仿宋_GB2312"/>
          <w:color w:val="auto"/>
          <w:sz w:val="32"/>
          <w:szCs w:val="32"/>
          <w:highlight w:val="none"/>
          <w:lang w:eastAsia="zh-CN"/>
        </w:rPr>
        <w:t>服务商必须持有有效期内的《营业执照》《食品经营许可证》，经营范围涵盖餐饮服务、食品销售。服务商办理食堂经营许可证等所发生的一切费用由服务商自行承担。</w:t>
      </w:r>
    </w:p>
    <w:p w14:paraId="3A2E37B9">
      <w:pPr>
        <w:keepNext w:val="0"/>
        <w:keepLines w:val="0"/>
        <w:pageBreakBefore w:val="0"/>
        <w:widowControl w:val="0"/>
        <w:kinsoku/>
        <w:wordWrap/>
        <w:overflowPunct/>
        <w:topLinePunct w:val="0"/>
        <w:autoSpaceDE/>
        <w:autoSpaceDN/>
        <w:bidi w:val="0"/>
        <w:adjustRightInd/>
        <w:snapToGrid/>
        <w:spacing w:line="560" w:lineRule="exact"/>
        <w:ind w:left="0" w:leftChars="0" w:firstLine="643" w:firstLineChars="200"/>
        <w:textAlignment w:val="auto"/>
        <w:rPr>
          <w:rFonts w:hint="eastAsia" w:ascii="仿宋_GB2312" w:hAnsi="仿宋_GB2312" w:eastAsia="仿宋_GB2312" w:cs="仿宋_GB2312"/>
          <w:b/>
          <w:bCs/>
          <w:color w:val="auto"/>
          <w:sz w:val="32"/>
          <w:szCs w:val="32"/>
        </w:rPr>
      </w:pPr>
      <w:r>
        <w:rPr>
          <w:rFonts w:hint="eastAsia" w:ascii="仿宋_GB2312" w:hAnsi="仿宋_GB2312" w:eastAsia="仿宋_GB2312" w:cs="仿宋_GB2312"/>
          <w:b/>
          <w:bCs/>
          <w:color w:val="auto"/>
          <w:sz w:val="32"/>
          <w:szCs w:val="32"/>
        </w:rPr>
        <w:t>（四）价格管理</w:t>
      </w:r>
    </w:p>
    <w:p w14:paraId="432C3503">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1.菜品及商品价格参照同城同类医院、周边市场及消费水平合理制定，须报招标人审核同意后执行。</w:t>
      </w:r>
    </w:p>
    <w:p w14:paraId="029001C0">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2.所有菜品和商品须明码标价，不得擅自涨价、变相涨价或降低份量。</w:t>
      </w:r>
    </w:p>
    <w:p w14:paraId="3E7EA20D">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3.因市场成本发生重大变化确需调价的，</w:t>
      </w:r>
      <w:r>
        <w:rPr>
          <w:rFonts w:hint="eastAsia" w:ascii="仿宋_GB2312" w:hAnsi="仿宋_GB2312" w:eastAsia="仿宋_GB2312" w:cs="仿宋_GB2312"/>
          <w:color w:val="auto"/>
          <w:sz w:val="32"/>
          <w:szCs w:val="32"/>
          <w:lang w:eastAsia="zh-CN"/>
        </w:rPr>
        <w:t>服务商</w:t>
      </w:r>
      <w:r>
        <w:rPr>
          <w:rFonts w:hint="eastAsia" w:ascii="仿宋_GB2312" w:hAnsi="仿宋_GB2312" w:eastAsia="仿宋_GB2312" w:cs="仿宋_GB2312"/>
          <w:color w:val="auto"/>
          <w:sz w:val="32"/>
          <w:szCs w:val="32"/>
        </w:rPr>
        <w:t>须提前向招标人提出书面申请，经招标人审核批准并公示后方可调整。</w:t>
      </w:r>
    </w:p>
    <w:p w14:paraId="78F1BBB3">
      <w:pPr>
        <w:keepNext w:val="0"/>
        <w:keepLines w:val="0"/>
        <w:pageBreakBefore w:val="0"/>
        <w:widowControl w:val="0"/>
        <w:kinsoku/>
        <w:wordWrap/>
        <w:overflowPunct/>
        <w:topLinePunct w:val="0"/>
        <w:autoSpaceDE/>
        <w:autoSpaceDN/>
        <w:bidi w:val="0"/>
        <w:adjustRightInd/>
        <w:snapToGrid/>
        <w:spacing w:line="560" w:lineRule="exact"/>
        <w:ind w:left="0" w:leftChars="0" w:firstLine="643" w:firstLineChars="200"/>
        <w:textAlignment w:val="auto"/>
        <w:rPr>
          <w:rFonts w:hint="eastAsia" w:ascii="仿宋_GB2312" w:hAnsi="仿宋_GB2312" w:eastAsia="仿宋_GB2312" w:cs="仿宋_GB2312"/>
          <w:b/>
          <w:bCs/>
          <w:color w:val="auto"/>
          <w:sz w:val="32"/>
          <w:szCs w:val="32"/>
        </w:rPr>
      </w:pPr>
      <w:r>
        <w:rPr>
          <w:rFonts w:hint="eastAsia" w:ascii="仿宋_GB2312" w:hAnsi="仿宋_GB2312" w:eastAsia="仿宋_GB2312" w:cs="仿宋_GB2312"/>
          <w:b/>
          <w:bCs/>
          <w:color w:val="auto"/>
          <w:sz w:val="32"/>
          <w:szCs w:val="32"/>
        </w:rPr>
        <w:t>（五）人员配置要求</w:t>
      </w:r>
    </w:p>
    <w:p w14:paraId="6C2F209D">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1.本项目拟投入人员不少于</w:t>
      </w:r>
      <w:r>
        <w:rPr>
          <w:rFonts w:hint="eastAsia" w:ascii="仿宋_GB2312" w:hAnsi="仿宋_GB2312" w:eastAsia="仿宋_GB2312" w:cs="仿宋_GB2312"/>
          <w:color w:val="auto"/>
          <w:sz w:val="32"/>
          <w:szCs w:val="32"/>
          <w:lang w:val="en-US" w:eastAsia="zh-CN"/>
        </w:rPr>
        <w:t>47</w:t>
      </w:r>
      <w:r>
        <w:rPr>
          <w:rFonts w:hint="eastAsia" w:ascii="仿宋_GB2312" w:hAnsi="仿宋_GB2312" w:eastAsia="仿宋_GB2312" w:cs="仿宋_GB2312"/>
          <w:color w:val="auto"/>
          <w:sz w:val="32"/>
          <w:szCs w:val="32"/>
        </w:rPr>
        <w:t>人，其中须包括项目负责人、现场管理人员、食品安全管理员、厨师、面点师、切配人员、洗消人员、送餐人员、服务员、仓库管理员等。</w:t>
      </w:r>
    </w:p>
    <w:p w14:paraId="02939158">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2.所有从业人员须持有效健康证上岗，并按规定进行食品安全知识培训。</w:t>
      </w:r>
    </w:p>
    <w:p w14:paraId="0F7C9AB4">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3.</w:t>
      </w:r>
      <w:r>
        <w:rPr>
          <w:rFonts w:hint="eastAsia" w:ascii="仿宋_GB2312" w:hAnsi="仿宋_GB2312" w:eastAsia="仿宋_GB2312" w:cs="仿宋_GB2312"/>
          <w:color w:val="auto"/>
          <w:sz w:val="32"/>
          <w:szCs w:val="32"/>
          <w:lang w:eastAsia="zh-CN"/>
        </w:rPr>
        <w:t>服务商</w:t>
      </w:r>
      <w:r>
        <w:rPr>
          <w:rFonts w:hint="eastAsia" w:ascii="仿宋_GB2312" w:hAnsi="仿宋_GB2312" w:eastAsia="仿宋_GB2312" w:cs="仿宋_GB2312"/>
          <w:color w:val="auto"/>
          <w:sz w:val="32"/>
          <w:szCs w:val="32"/>
        </w:rPr>
        <w:t>须配备专职食品安全管理员，负责日常食品安全检查、留样管理、消毒管理、进货查验、风险排查等工作。</w:t>
      </w:r>
    </w:p>
    <w:p w14:paraId="0EAF12BE">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4.</w:t>
      </w:r>
      <w:r>
        <w:rPr>
          <w:rFonts w:hint="eastAsia" w:ascii="仿宋_GB2312" w:hAnsi="仿宋_GB2312" w:eastAsia="仿宋_GB2312" w:cs="仿宋_GB2312"/>
          <w:color w:val="auto"/>
          <w:sz w:val="32"/>
          <w:szCs w:val="32"/>
          <w:lang w:eastAsia="zh-CN"/>
        </w:rPr>
        <w:t>服务商</w:t>
      </w:r>
      <w:r>
        <w:rPr>
          <w:rFonts w:hint="eastAsia" w:ascii="仿宋_GB2312" w:hAnsi="仿宋_GB2312" w:eastAsia="仿宋_GB2312" w:cs="仿宋_GB2312"/>
          <w:color w:val="auto"/>
          <w:sz w:val="32"/>
          <w:szCs w:val="32"/>
        </w:rPr>
        <w:t>须依法与员工签订劳动合同，足额支付工资，缴纳社会保险，并承担用工过程中产生的全部法律责任。</w:t>
      </w:r>
    </w:p>
    <w:p w14:paraId="3B73985C">
      <w:pPr>
        <w:keepNext w:val="0"/>
        <w:keepLines w:val="0"/>
        <w:pageBreakBefore w:val="0"/>
        <w:widowControl w:val="0"/>
        <w:kinsoku/>
        <w:wordWrap/>
        <w:overflowPunct/>
        <w:topLinePunct w:val="0"/>
        <w:autoSpaceDE/>
        <w:autoSpaceDN/>
        <w:bidi w:val="0"/>
        <w:adjustRightInd/>
        <w:snapToGrid/>
        <w:spacing w:line="560" w:lineRule="exact"/>
        <w:ind w:left="0" w:leftChars="0" w:firstLine="643"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rPr>
        <w:t>六、院外经营特别要求</w:t>
      </w:r>
    </w:p>
    <w:p w14:paraId="6B437374">
      <w:pPr>
        <w:keepNext w:val="0"/>
        <w:keepLines w:val="0"/>
        <w:pageBreakBefore w:val="0"/>
        <w:widowControl w:val="0"/>
        <w:kinsoku/>
        <w:wordWrap/>
        <w:overflowPunct/>
        <w:topLinePunct w:val="0"/>
        <w:autoSpaceDE/>
        <w:autoSpaceDN/>
        <w:bidi w:val="0"/>
        <w:adjustRightInd/>
        <w:snapToGrid/>
        <w:spacing w:line="560" w:lineRule="exact"/>
        <w:ind w:left="0" w:leftChars="0" w:firstLine="643" w:firstLineChars="200"/>
        <w:textAlignment w:val="auto"/>
        <w:rPr>
          <w:rFonts w:hint="eastAsia" w:ascii="仿宋_GB2312" w:hAnsi="仿宋_GB2312" w:eastAsia="仿宋_GB2312" w:cs="仿宋_GB2312"/>
          <w:b/>
          <w:bCs/>
          <w:color w:val="auto"/>
          <w:sz w:val="32"/>
          <w:szCs w:val="32"/>
        </w:rPr>
      </w:pPr>
      <w:r>
        <w:rPr>
          <w:rFonts w:hint="eastAsia" w:ascii="仿宋_GB2312" w:hAnsi="仿宋_GB2312" w:eastAsia="仿宋_GB2312" w:cs="仿宋_GB2312"/>
          <w:b/>
          <w:bCs/>
          <w:color w:val="auto"/>
          <w:sz w:val="32"/>
          <w:szCs w:val="32"/>
        </w:rPr>
        <w:t>（一）场地合法性要求</w:t>
      </w:r>
    </w:p>
    <w:p w14:paraId="195C6211">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1.</w:t>
      </w:r>
      <w:r>
        <w:rPr>
          <w:rFonts w:hint="eastAsia" w:ascii="仿宋_GB2312" w:hAnsi="仿宋_GB2312" w:eastAsia="仿宋_GB2312" w:cs="仿宋_GB2312"/>
          <w:color w:val="auto"/>
          <w:sz w:val="32"/>
          <w:szCs w:val="32"/>
          <w:lang w:eastAsia="zh-CN"/>
        </w:rPr>
        <w:t>服务商</w:t>
      </w:r>
      <w:r>
        <w:rPr>
          <w:rFonts w:hint="eastAsia" w:ascii="仿宋_GB2312" w:hAnsi="仿宋_GB2312" w:eastAsia="仿宋_GB2312" w:cs="仿宋_GB2312"/>
          <w:color w:val="auto"/>
          <w:sz w:val="32"/>
          <w:szCs w:val="32"/>
        </w:rPr>
        <w:t>自行承担院外经营场地的租赁、使用、装修、改造及合规责任，并确保场地产权清晰、租赁关系合法稳定。</w:t>
      </w:r>
    </w:p>
    <w:p w14:paraId="26C59910">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2.经营场所须依法办理食品经营许可证、消防验收或备案、环保、排烟、排水、燃气等相关手续，相关费用由</w:t>
      </w:r>
      <w:r>
        <w:rPr>
          <w:rFonts w:hint="eastAsia" w:ascii="仿宋_GB2312" w:hAnsi="仿宋_GB2312" w:eastAsia="仿宋_GB2312" w:cs="仿宋_GB2312"/>
          <w:color w:val="auto"/>
          <w:sz w:val="32"/>
          <w:szCs w:val="32"/>
          <w:lang w:eastAsia="zh-CN"/>
        </w:rPr>
        <w:t>服务商</w:t>
      </w:r>
      <w:r>
        <w:rPr>
          <w:rFonts w:hint="eastAsia" w:ascii="仿宋_GB2312" w:hAnsi="仿宋_GB2312" w:eastAsia="仿宋_GB2312" w:cs="仿宋_GB2312"/>
          <w:color w:val="auto"/>
          <w:sz w:val="32"/>
          <w:szCs w:val="32"/>
        </w:rPr>
        <w:t>承担。</w:t>
      </w:r>
    </w:p>
    <w:p w14:paraId="01AFAF32">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3.因经营场地租赁纠纷、产权瑕疵、政府征收、拆迁、规划调整等原因导致项目无法正常经营的，由</w:t>
      </w:r>
      <w:r>
        <w:rPr>
          <w:rFonts w:hint="eastAsia" w:ascii="仿宋_GB2312" w:hAnsi="仿宋_GB2312" w:eastAsia="仿宋_GB2312" w:cs="仿宋_GB2312"/>
          <w:color w:val="auto"/>
          <w:sz w:val="32"/>
          <w:szCs w:val="32"/>
          <w:lang w:eastAsia="zh-CN"/>
        </w:rPr>
        <w:t>服务商</w:t>
      </w:r>
      <w:r>
        <w:rPr>
          <w:rFonts w:hint="eastAsia" w:ascii="仿宋_GB2312" w:hAnsi="仿宋_GB2312" w:eastAsia="仿宋_GB2312" w:cs="仿宋_GB2312"/>
          <w:color w:val="auto"/>
          <w:sz w:val="32"/>
          <w:szCs w:val="32"/>
        </w:rPr>
        <w:t>自行协调处理并承担相应责任；给招标人造成损失的，</w:t>
      </w:r>
      <w:r>
        <w:rPr>
          <w:rFonts w:hint="eastAsia" w:ascii="仿宋_GB2312" w:hAnsi="仿宋_GB2312" w:eastAsia="仿宋_GB2312" w:cs="仿宋_GB2312"/>
          <w:color w:val="auto"/>
          <w:sz w:val="32"/>
          <w:szCs w:val="32"/>
          <w:lang w:eastAsia="zh-CN"/>
        </w:rPr>
        <w:t>服务商</w:t>
      </w:r>
      <w:r>
        <w:rPr>
          <w:rFonts w:hint="eastAsia" w:ascii="仿宋_GB2312" w:hAnsi="仿宋_GB2312" w:eastAsia="仿宋_GB2312" w:cs="仿宋_GB2312"/>
          <w:color w:val="auto"/>
          <w:sz w:val="32"/>
          <w:szCs w:val="32"/>
        </w:rPr>
        <w:t>应依法赔偿。</w:t>
      </w:r>
    </w:p>
    <w:p w14:paraId="07783803">
      <w:pPr>
        <w:keepNext w:val="0"/>
        <w:keepLines w:val="0"/>
        <w:pageBreakBefore w:val="0"/>
        <w:widowControl w:val="0"/>
        <w:kinsoku/>
        <w:wordWrap/>
        <w:overflowPunct/>
        <w:topLinePunct w:val="0"/>
        <w:autoSpaceDE/>
        <w:autoSpaceDN/>
        <w:bidi w:val="0"/>
        <w:adjustRightInd/>
        <w:snapToGrid/>
        <w:spacing w:line="560" w:lineRule="exact"/>
        <w:ind w:left="0" w:leftChars="0" w:firstLine="643" w:firstLineChars="200"/>
        <w:textAlignment w:val="auto"/>
        <w:rPr>
          <w:rFonts w:hint="eastAsia" w:ascii="仿宋_GB2312" w:hAnsi="仿宋_GB2312" w:eastAsia="仿宋_GB2312" w:cs="仿宋_GB2312"/>
          <w:b/>
          <w:bCs/>
          <w:color w:val="auto"/>
          <w:sz w:val="32"/>
          <w:szCs w:val="32"/>
        </w:rPr>
      </w:pPr>
      <w:r>
        <w:rPr>
          <w:rFonts w:hint="eastAsia" w:ascii="仿宋_GB2312" w:hAnsi="仿宋_GB2312" w:eastAsia="仿宋_GB2312" w:cs="仿宋_GB2312"/>
          <w:b/>
          <w:bCs/>
          <w:color w:val="auto"/>
          <w:sz w:val="32"/>
          <w:szCs w:val="32"/>
        </w:rPr>
        <w:t>（二）食品安全与配送安全</w:t>
      </w:r>
    </w:p>
    <w:p w14:paraId="2F52A60A">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1.</w:t>
      </w:r>
      <w:r>
        <w:rPr>
          <w:rFonts w:hint="eastAsia" w:ascii="仿宋_GB2312" w:hAnsi="仿宋_GB2312" w:eastAsia="仿宋_GB2312" w:cs="仿宋_GB2312"/>
          <w:color w:val="auto"/>
          <w:sz w:val="32"/>
          <w:szCs w:val="32"/>
          <w:lang w:eastAsia="zh-CN"/>
        </w:rPr>
        <w:t>服务商</w:t>
      </w:r>
      <w:r>
        <w:rPr>
          <w:rFonts w:hint="eastAsia" w:ascii="仿宋_GB2312" w:hAnsi="仿宋_GB2312" w:eastAsia="仿宋_GB2312" w:cs="仿宋_GB2312"/>
          <w:color w:val="auto"/>
          <w:sz w:val="32"/>
          <w:szCs w:val="32"/>
        </w:rPr>
        <w:t>须建立从采购、验收、储存、加工、留样、配送到回收的全流程食品安全管理制度。</w:t>
      </w:r>
    </w:p>
    <w:p w14:paraId="206870DE">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2.院外食堂向医院体检中心、门诊一楼及病区配送餐食时，须使用专用密闭配送容器，落实保温、防污染、防洒漏、防交叉感染措施。</w:t>
      </w:r>
    </w:p>
    <w:p w14:paraId="7144D375">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3.配送车辆及容器须定期清洗消毒，并留存记录；配送人员须持健康证上岗，穿戴清洁工作衣帽。</w:t>
      </w:r>
    </w:p>
    <w:p w14:paraId="57F0B08A">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4.</w:t>
      </w:r>
      <w:r>
        <w:rPr>
          <w:rFonts w:hint="eastAsia" w:ascii="仿宋_GB2312" w:hAnsi="仿宋_GB2312" w:eastAsia="仿宋_GB2312" w:cs="仿宋_GB2312"/>
          <w:color w:val="auto"/>
          <w:sz w:val="32"/>
          <w:szCs w:val="32"/>
          <w:lang w:eastAsia="zh-CN"/>
        </w:rPr>
        <w:t>服务商</w:t>
      </w:r>
      <w:r>
        <w:rPr>
          <w:rFonts w:hint="eastAsia" w:ascii="仿宋_GB2312" w:hAnsi="仿宋_GB2312" w:eastAsia="仿宋_GB2312" w:cs="仿宋_GB2312"/>
          <w:color w:val="auto"/>
          <w:sz w:val="32"/>
          <w:szCs w:val="32"/>
        </w:rPr>
        <w:t>须按食品卫生要求对每餐次食品进行48小时留样，留样量不少于1</w:t>
      </w:r>
      <w:r>
        <w:rPr>
          <w:rFonts w:hint="eastAsia" w:ascii="仿宋_GB2312" w:hAnsi="仿宋_GB2312" w:eastAsia="仿宋_GB2312" w:cs="仿宋_GB2312"/>
          <w:color w:val="auto"/>
          <w:sz w:val="32"/>
          <w:szCs w:val="32"/>
          <w:lang w:val="en-US" w:eastAsia="zh-CN"/>
        </w:rPr>
        <w:t>25</w:t>
      </w:r>
      <w:r>
        <w:rPr>
          <w:rFonts w:hint="eastAsia" w:ascii="仿宋_GB2312" w:hAnsi="仿宋_GB2312" w:eastAsia="仿宋_GB2312" w:cs="仿宋_GB2312"/>
          <w:color w:val="auto"/>
          <w:sz w:val="32"/>
          <w:szCs w:val="32"/>
        </w:rPr>
        <w:t>克，并做好留样记录。</w:t>
      </w:r>
    </w:p>
    <w:p w14:paraId="65D0B999">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5.</w:t>
      </w:r>
      <w:r>
        <w:rPr>
          <w:rFonts w:hint="eastAsia" w:ascii="仿宋_GB2312" w:hAnsi="仿宋_GB2312" w:eastAsia="仿宋_GB2312" w:cs="仿宋_GB2312"/>
          <w:color w:val="auto"/>
          <w:sz w:val="32"/>
          <w:szCs w:val="32"/>
          <w:lang w:eastAsia="zh-CN"/>
        </w:rPr>
        <w:t>服务商</w:t>
      </w:r>
      <w:r>
        <w:rPr>
          <w:rFonts w:hint="eastAsia" w:ascii="仿宋_GB2312" w:hAnsi="仿宋_GB2312" w:eastAsia="仿宋_GB2312" w:cs="仿宋_GB2312"/>
          <w:color w:val="auto"/>
          <w:sz w:val="32"/>
          <w:szCs w:val="32"/>
        </w:rPr>
        <w:t>须对采购的蔬菜、水果等开展农药残留检测，并做好检测记录。</w:t>
      </w:r>
    </w:p>
    <w:p w14:paraId="661ACE50">
      <w:pPr>
        <w:keepNext w:val="0"/>
        <w:keepLines w:val="0"/>
        <w:pageBreakBefore w:val="0"/>
        <w:widowControl w:val="0"/>
        <w:kinsoku/>
        <w:wordWrap/>
        <w:overflowPunct/>
        <w:topLinePunct w:val="0"/>
        <w:autoSpaceDE/>
        <w:autoSpaceDN/>
        <w:bidi w:val="0"/>
        <w:adjustRightInd/>
        <w:snapToGrid/>
        <w:spacing w:line="560" w:lineRule="exact"/>
        <w:ind w:left="0" w:leftChars="0" w:firstLine="643" w:firstLineChars="200"/>
        <w:textAlignment w:val="auto"/>
        <w:rPr>
          <w:rFonts w:hint="eastAsia" w:ascii="仿宋_GB2312" w:hAnsi="仿宋_GB2312" w:eastAsia="仿宋_GB2312" w:cs="仿宋_GB2312"/>
          <w:b/>
          <w:bCs/>
          <w:color w:val="auto"/>
          <w:sz w:val="32"/>
          <w:szCs w:val="32"/>
        </w:rPr>
      </w:pPr>
      <w:r>
        <w:rPr>
          <w:rFonts w:hint="eastAsia" w:ascii="仿宋_GB2312" w:hAnsi="仿宋_GB2312" w:eastAsia="仿宋_GB2312" w:cs="仿宋_GB2312"/>
          <w:b/>
          <w:bCs/>
          <w:color w:val="auto"/>
          <w:sz w:val="32"/>
          <w:szCs w:val="32"/>
        </w:rPr>
        <w:t>（三）安全与应急管理</w:t>
      </w:r>
    </w:p>
    <w:p w14:paraId="16454814">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1.</w:t>
      </w:r>
      <w:r>
        <w:rPr>
          <w:rFonts w:hint="eastAsia" w:ascii="仿宋_GB2312" w:hAnsi="仿宋_GB2312" w:eastAsia="仿宋_GB2312" w:cs="仿宋_GB2312"/>
          <w:color w:val="auto"/>
          <w:sz w:val="32"/>
          <w:szCs w:val="32"/>
          <w:lang w:eastAsia="zh-CN"/>
        </w:rPr>
        <w:t>服务商</w:t>
      </w:r>
      <w:r>
        <w:rPr>
          <w:rFonts w:hint="eastAsia" w:ascii="仿宋_GB2312" w:hAnsi="仿宋_GB2312" w:eastAsia="仿宋_GB2312" w:cs="仿宋_GB2312"/>
          <w:color w:val="auto"/>
          <w:sz w:val="32"/>
          <w:szCs w:val="32"/>
        </w:rPr>
        <w:t>须对院外经营场所的消防、燃气、用电、食品、治安、防盗、防中毒、防事故等安全事项承担全部责任。</w:t>
      </w:r>
    </w:p>
    <w:p w14:paraId="1BFB7213">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2.</w:t>
      </w:r>
      <w:r>
        <w:rPr>
          <w:rFonts w:hint="eastAsia" w:ascii="仿宋_GB2312" w:hAnsi="仿宋_GB2312" w:eastAsia="仿宋_GB2312" w:cs="仿宋_GB2312"/>
          <w:color w:val="auto"/>
          <w:sz w:val="32"/>
          <w:szCs w:val="32"/>
          <w:lang w:eastAsia="zh-CN"/>
        </w:rPr>
        <w:t>服务商</w:t>
      </w:r>
      <w:r>
        <w:rPr>
          <w:rFonts w:hint="eastAsia" w:ascii="仿宋_GB2312" w:hAnsi="仿宋_GB2312" w:eastAsia="仿宋_GB2312" w:cs="仿宋_GB2312"/>
          <w:color w:val="auto"/>
          <w:sz w:val="32"/>
          <w:szCs w:val="32"/>
        </w:rPr>
        <w:t>须制定食物中毒、火灾、停水停电、燃气泄漏、食品安全事故等应急预案，并定期组织演练。</w:t>
      </w:r>
    </w:p>
    <w:p w14:paraId="3CACFF8B">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3.发生食品安全事故或其他突发事件的，</w:t>
      </w:r>
      <w:r>
        <w:rPr>
          <w:rFonts w:hint="eastAsia" w:ascii="仿宋_GB2312" w:hAnsi="仿宋_GB2312" w:eastAsia="仿宋_GB2312" w:cs="仿宋_GB2312"/>
          <w:color w:val="auto"/>
          <w:sz w:val="32"/>
          <w:szCs w:val="32"/>
          <w:lang w:eastAsia="zh-CN"/>
        </w:rPr>
        <w:t>服务商</w:t>
      </w:r>
      <w:r>
        <w:rPr>
          <w:rFonts w:hint="eastAsia" w:ascii="仿宋_GB2312" w:hAnsi="仿宋_GB2312" w:eastAsia="仿宋_GB2312" w:cs="仿宋_GB2312"/>
          <w:color w:val="auto"/>
          <w:sz w:val="32"/>
          <w:szCs w:val="32"/>
        </w:rPr>
        <w:t>须第一时间处置并报告招标人及相关部门，承担全部法律责任和经济赔偿责任。</w:t>
      </w:r>
    </w:p>
    <w:p w14:paraId="2B5E2E6E">
      <w:pPr>
        <w:keepNext w:val="0"/>
        <w:keepLines w:val="0"/>
        <w:pageBreakBefore w:val="0"/>
        <w:widowControl w:val="0"/>
        <w:kinsoku/>
        <w:wordWrap/>
        <w:overflowPunct/>
        <w:topLinePunct w:val="0"/>
        <w:autoSpaceDE/>
        <w:autoSpaceDN/>
        <w:bidi w:val="0"/>
        <w:adjustRightInd/>
        <w:snapToGrid/>
        <w:spacing w:line="560" w:lineRule="exact"/>
        <w:ind w:left="0" w:leftChars="0" w:firstLine="643" w:firstLineChars="200"/>
        <w:textAlignment w:val="auto"/>
        <w:rPr>
          <w:rFonts w:hint="eastAsia" w:ascii="仿宋_GB2312" w:hAnsi="仿宋_GB2312" w:eastAsia="仿宋_GB2312" w:cs="仿宋_GB2312"/>
          <w:b/>
          <w:bCs/>
          <w:color w:val="auto"/>
          <w:sz w:val="32"/>
          <w:szCs w:val="32"/>
        </w:rPr>
      </w:pPr>
      <w:r>
        <w:rPr>
          <w:rFonts w:hint="eastAsia" w:ascii="仿宋_GB2312" w:hAnsi="仿宋_GB2312" w:eastAsia="仿宋_GB2312" w:cs="仿宋_GB2312"/>
          <w:b/>
          <w:bCs/>
          <w:color w:val="auto"/>
          <w:sz w:val="32"/>
          <w:szCs w:val="32"/>
        </w:rPr>
        <w:t>（四）与医院的协同管理</w:t>
      </w:r>
    </w:p>
    <w:p w14:paraId="279D3F6D">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1.</w:t>
      </w:r>
      <w:r>
        <w:rPr>
          <w:rFonts w:hint="eastAsia" w:ascii="仿宋_GB2312" w:hAnsi="仿宋_GB2312" w:eastAsia="仿宋_GB2312" w:cs="仿宋_GB2312"/>
          <w:color w:val="auto"/>
          <w:sz w:val="32"/>
          <w:szCs w:val="32"/>
          <w:lang w:eastAsia="zh-CN"/>
        </w:rPr>
        <w:t>服务商</w:t>
      </w:r>
      <w:r>
        <w:rPr>
          <w:rFonts w:hint="eastAsia" w:ascii="仿宋_GB2312" w:hAnsi="仿宋_GB2312" w:eastAsia="仿宋_GB2312" w:cs="仿宋_GB2312"/>
          <w:color w:val="auto"/>
          <w:sz w:val="32"/>
          <w:szCs w:val="32"/>
        </w:rPr>
        <w:t>须接受招标人对食堂及</w:t>
      </w:r>
      <w:r>
        <w:rPr>
          <w:rFonts w:hint="eastAsia" w:ascii="仿宋_GB2312" w:hAnsi="仿宋_GB2312" w:eastAsia="仿宋_GB2312" w:cs="仿宋_GB2312"/>
          <w:color w:val="auto"/>
          <w:sz w:val="32"/>
          <w:szCs w:val="32"/>
          <w:lang w:eastAsia="zh-CN"/>
        </w:rPr>
        <w:t>小卖部</w:t>
      </w:r>
      <w:r>
        <w:rPr>
          <w:rFonts w:hint="eastAsia" w:ascii="仿宋_GB2312" w:hAnsi="仿宋_GB2312" w:eastAsia="仿宋_GB2312" w:cs="仿宋_GB2312"/>
          <w:color w:val="auto"/>
          <w:sz w:val="32"/>
          <w:szCs w:val="32"/>
        </w:rPr>
        <w:t>服务质量、食品安全、价格、卫生、配送、满意度等方面的监督、检查和考核。</w:t>
      </w:r>
    </w:p>
    <w:p w14:paraId="35C7C8A8">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2.</w:t>
      </w:r>
      <w:r>
        <w:rPr>
          <w:rFonts w:hint="eastAsia" w:ascii="仿宋_GB2312" w:hAnsi="仿宋_GB2312" w:eastAsia="仿宋_GB2312" w:cs="仿宋_GB2312"/>
          <w:color w:val="auto"/>
          <w:sz w:val="32"/>
          <w:szCs w:val="32"/>
          <w:lang w:eastAsia="zh-CN"/>
        </w:rPr>
        <w:t>服务商</w:t>
      </w:r>
      <w:r>
        <w:rPr>
          <w:rFonts w:hint="eastAsia" w:ascii="仿宋_GB2312" w:hAnsi="仿宋_GB2312" w:eastAsia="仿宋_GB2312" w:cs="仿宋_GB2312"/>
          <w:color w:val="auto"/>
          <w:sz w:val="32"/>
          <w:szCs w:val="32"/>
        </w:rPr>
        <w:t>须将食堂及</w:t>
      </w:r>
      <w:r>
        <w:rPr>
          <w:rFonts w:hint="eastAsia" w:ascii="仿宋_GB2312" w:hAnsi="仿宋_GB2312" w:eastAsia="仿宋_GB2312" w:cs="仿宋_GB2312"/>
          <w:color w:val="auto"/>
          <w:sz w:val="32"/>
          <w:szCs w:val="32"/>
          <w:lang w:eastAsia="zh-CN"/>
        </w:rPr>
        <w:t>小卖部</w:t>
      </w:r>
      <w:r>
        <w:rPr>
          <w:rFonts w:hint="eastAsia" w:ascii="仿宋_GB2312" w:hAnsi="仿宋_GB2312" w:eastAsia="仿宋_GB2312" w:cs="仿宋_GB2312"/>
          <w:color w:val="auto"/>
          <w:sz w:val="32"/>
          <w:szCs w:val="32"/>
        </w:rPr>
        <w:t>经营数据、采购台账、销售记录、留样记录、消毒记录、检测记录等资料定期报招标人备案，并接受招标人随时查阅。</w:t>
      </w:r>
    </w:p>
    <w:p w14:paraId="3C479A36">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3.未经招标人同意，</w:t>
      </w:r>
      <w:r>
        <w:rPr>
          <w:rFonts w:hint="eastAsia" w:ascii="仿宋_GB2312" w:hAnsi="仿宋_GB2312" w:eastAsia="仿宋_GB2312" w:cs="仿宋_GB2312"/>
          <w:color w:val="auto"/>
          <w:sz w:val="32"/>
          <w:szCs w:val="32"/>
          <w:lang w:eastAsia="zh-CN"/>
        </w:rPr>
        <w:t>服务商</w:t>
      </w:r>
      <w:r>
        <w:rPr>
          <w:rFonts w:hint="eastAsia" w:ascii="仿宋_GB2312" w:hAnsi="仿宋_GB2312" w:eastAsia="仿宋_GB2312" w:cs="仿宋_GB2312"/>
          <w:color w:val="auto"/>
          <w:sz w:val="32"/>
          <w:szCs w:val="32"/>
        </w:rPr>
        <w:t>不得使用医院名称、标识、商标进行对外宣传，不得擅自开展与医院无关的商业宣传。</w:t>
      </w:r>
    </w:p>
    <w:p w14:paraId="2E8EEF63">
      <w:pPr>
        <w:keepNext w:val="0"/>
        <w:keepLines w:val="0"/>
        <w:pageBreakBefore w:val="0"/>
        <w:widowControl w:val="0"/>
        <w:kinsoku/>
        <w:wordWrap/>
        <w:overflowPunct/>
        <w:topLinePunct w:val="0"/>
        <w:autoSpaceDE/>
        <w:autoSpaceDN/>
        <w:bidi w:val="0"/>
        <w:adjustRightInd/>
        <w:snapToGrid/>
        <w:spacing w:line="560" w:lineRule="exact"/>
        <w:ind w:left="0" w:leftChars="0" w:firstLine="643" w:firstLineChars="200"/>
        <w:textAlignment w:val="auto"/>
        <w:rPr>
          <w:rFonts w:hint="eastAsia" w:ascii="仿宋_GB2312" w:hAnsi="仿宋_GB2312" w:eastAsia="仿宋_GB2312" w:cs="仿宋_GB2312"/>
          <w:b/>
          <w:bCs/>
          <w:color w:val="auto"/>
          <w:sz w:val="32"/>
          <w:szCs w:val="32"/>
        </w:rPr>
      </w:pPr>
      <w:r>
        <w:rPr>
          <w:rFonts w:hint="eastAsia" w:ascii="仿宋_GB2312" w:hAnsi="仿宋_GB2312" w:eastAsia="仿宋_GB2312" w:cs="仿宋_GB2312"/>
          <w:b/>
          <w:bCs/>
          <w:color w:val="auto"/>
          <w:sz w:val="32"/>
          <w:szCs w:val="32"/>
          <w:lang w:val="en-US" w:eastAsia="zh-CN"/>
        </w:rPr>
        <w:t>七、</w:t>
      </w:r>
      <w:r>
        <w:rPr>
          <w:rFonts w:hint="eastAsia" w:ascii="仿宋_GB2312" w:hAnsi="仿宋_GB2312" w:eastAsia="仿宋_GB2312" w:cs="仿宋_GB2312"/>
          <w:b/>
          <w:bCs/>
          <w:color w:val="auto"/>
          <w:sz w:val="32"/>
          <w:szCs w:val="32"/>
        </w:rPr>
        <w:t>考核制度</w:t>
      </w:r>
    </w:p>
    <w:p w14:paraId="3D0682D2">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仿宋_GB2312" w:eastAsia="仿宋_GB2312" w:cs="仿宋_GB2312"/>
          <w:bCs/>
          <w:color w:val="auto"/>
          <w:sz w:val="32"/>
          <w:szCs w:val="32"/>
        </w:rPr>
      </w:pPr>
      <w:r>
        <w:rPr>
          <w:rFonts w:hint="eastAsia" w:ascii="仿宋_GB2312" w:hAnsi="仿宋_GB2312" w:eastAsia="仿宋_GB2312" w:cs="仿宋_GB2312"/>
          <w:color w:val="auto"/>
          <w:sz w:val="32"/>
          <w:szCs w:val="32"/>
        </w:rPr>
        <w:t>1.考核内容及标准</w:t>
      </w:r>
    </w:p>
    <w:tbl>
      <w:tblPr>
        <w:tblStyle w:val="7"/>
        <w:tblW w:w="9562" w:type="dxa"/>
        <w:tblInd w:w="-54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975"/>
        <w:gridCol w:w="4819"/>
        <w:gridCol w:w="1749"/>
        <w:gridCol w:w="1026"/>
        <w:gridCol w:w="993"/>
      </w:tblGrid>
      <w:tr w14:paraId="5DC8172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44" w:hRule="atLeast"/>
        </w:trPr>
        <w:tc>
          <w:tcPr>
            <w:tcW w:w="975" w:type="dxa"/>
            <w:tcBorders>
              <w:top w:val="single" w:color="000000" w:sz="4" w:space="0"/>
              <w:left w:val="single" w:color="000000" w:sz="4" w:space="0"/>
              <w:bottom w:val="single" w:color="000000" w:sz="4" w:space="0"/>
              <w:right w:val="single" w:color="000000" w:sz="4" w:space="0"/>
            </w:tcBorders>
            <w:noWrap w:val="0"/>
            <w:vAlign w:val="center"/>
          </w:tcPr>
          <w:p w14:paraId="5A09B599">
            <w:pPr>
              <w:spacing w:line="360" w:lineRule="exact"/>
              <w:jc w:val="center"/>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项目</w:t>
            </w:r>
          </w:p>
        </w:tc>
        <w:tc>
          <w:tcPr>
            <w:tcW w:w="4819" w:type="dxa"/>
            <w:tcBorders>
              <w:top w:val="single" w:color="000000" w:sz="4" w:space="0"/>
              <w:left w:val="nil"/>
              <w:bottom w:val="single" w:color="000000" w:sz="4" w:space="0"/>
              <w:right w:val="single" w:color="000000" w:sz="4" w:space="0"/>
            </w:tcBorders>
            <w:noWrap w:val="0"/>
            <w:vAlign w:val="center"/>
          </w:tcPr>
          <w:p w14:paraId="4353D681">
            <w:pPr>
              <w:spacing w:line="360" w:lineRule="exact"/>
              <w:jc w:val="center"/>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考核内容及标准</w:t>
            </w:r>
          </w:p>
        </w:tc>
        <w:tc>
          <w:tcPr>
            <w:tcW w:w="1749" w:type="dxa"/>
            <w:tcBorders>
              <w:top w:val="single" w:color="000000" w:sz="4" w:space="0"/>
              <w:left w:val="nil"/>
              <w:bottom w:val="single" w:color="000000" w:sz="4" w:space="0"/>
              <w:right w:val="single" w:color="000000" w:sz="4" w:space="0"/>
            </w:tcBorders>
            <w:noWrap w:val="0"/>
            <w:vAlign w:val="center"/>
          </w:tcPr>
          <w:p w14:paraId="3CC74057">
            <w:pPr>
              <w:spacing w:line="360" w:lineRule="exact"/>
              <w:jc w:val="center"/>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扣分说明</w:t>
            </w:r>
          </w:p>
        </w:tc>
        <w:tc>
          <w:tcPr>
            <w:tcW w:w="1026" w:type="dxa"/>
            <w:tcBorders>
              <w:top w:val="single" w:color="000000" w:sz="4" w:space="0"/>
              <w:left w:val="nil"/>
              <w:bottom w:val="single" w:color="000000" w:sz="4" w:space="0"/>
              <w:right w:val="single" w:color="000000" w:sz="4" w:space="0"/>
            </w:tcBorders>
            <w:noWrap w:val="0"/>
            <w:vAlign w:val="center"/>
          </w:tcPr>
          <w:p w14:paraId="459D34EE">
            <w:pPr>
              <w:spacing w:line="360" w:lineRule="exact"/>
              <w:jc w:val="center"/>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扣分结果</w:t>
            </w:r>
          </w:p>
        </w:tc>
        <w:tc>
          <w:tcPr>
            <w:tcW w:w="993" w:type="dxa"/>
            <w:tcBorders>
              <w:top w:val="single" w:color="000000" w:sz="4" w:space="0"/>
              <w:left w:val="nil"/>
              <w:bottom w:val="single" w:color="000000" w:sz="4" w:space="0"/>
              <w:right w:val="single" w:color="000000" w:sz="4" w:space="0"/>
            </w:tcBorders>
            <w:noWrap w:val="0"/>
            <w:vAlign w:val="center"/>
          </w:tcPr>
          <w:p w14:paraId="0FB8116F">
            <w:pPr>
              <w:widowControl/>
              <w:spacing w:line="360" w:lineRule="atLeast"/>
              <w:jc w:val="center"/>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扣分说明</w:t>
            </w:r>
          </w:p>
        </w:tc>
      </w:tr>
      <w:tr w14:paraId="229E12A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44" w:hRule="atLeast"/>
        </w:trPr>
        <w:tc>
          <w:tcPr>
            <w:tcW w:w="975" w:type="dxa"/>
            <w:vMerge w:val="restart"/>
            <w:tcBorders>
              <w:top w:val="nil"/>
              <w:left w:val="single" w:color="000000" w:sz="4" w:space="0"/>
              <w:bottom w:val="single" w:color="000000" w:sz="4" w:space="0"/>
              <w:right w:val="single" w:color="000000" w:sz="4" w:space="0"/>
            </w:tcBorders>
            <w:noWrap w:val="0"/>
            <w:vAlign w:val="center"/>
          </w:tcPr>
          <w:p w14:paraId="0BE69185">
            <w:pPr>
              <w:spacing w:line="360" w:lineRule="exact"/>
              <w:jc w:val="center"/>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制度健全</w:t>
            </w:r>
          </w:p>
        </w:tc>
        <w:tc>
          <w:tcPr>
            <w:tcW w:w="4819" w:type="dxa"/>
            <w:tcBorders>
              <w:top w:val="single" w:color="000000" w:sz="4" w:space="0"/>
              <w:left w:val="nil"/>
              <w:bottom w:val="single" w:color="000000" w:sz="4" w:space="0"/>
              <w:right w:val="single" w:color="000000" w:sz="4" w:space="0"/>
            </w:tcBorders>
            <w:noWrap w:val="0"/>
            <w:vAlign w:val="center"/>
          </w:tcPr>
          <w:p w14:paraId="2F85C7B1">
            <w:pPr>
              <w:spacing w:line="360" w:lineRule="exact"/>
              <w:jc w:val="left"/>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1、制定并执行食堂卫生管理及责任划分制度。</w:t>
            </w:r>
          </w:p>
        </w:tc>
        <w:tc>
          <w:tcPr>
            <w:tcW w:w="1749" w:type="dxa"/>
            <w:vMerge w:val="restart"/>
            <w:tcBorders>
              <w:top w:val="nil"/>
              <w:left w:val="nil"/>
              <w:bottom w:val="single" w:color="000000" w:sz="4" w:space="0"/>
              <w:right w:val="single" w:color="000000" w:sz="4" w:space="0"/>
            </w:tcBorders>
            <w:noWrap w:val="0"/>
            <w:vAlign w:val="center"/>
          </w:tcPr>
          <w:p w14:paraId="0BC323D6">
            <w:pPr>
              <w:spacing w:line="360" w:lineRule="exact"/>
              <w:jc w:val="center"/>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每有1项未做到扣1分</w:t>
            </w:r>
          </w:p>
        </w:tc>
        <w:tc>
          <w:tcPr>
            <w:tcW w:w="1026" w:type="dxa"/>
            <w:tcBorders>
              <w:top w:val="single" w:color="000000" w:sz="4" w:space="0"/>
              <w:left w:val="nil"/>
              <w:bottom w:val="single" w:color="000000" w:sz="4" w:space="0"/>
              <w:right w:val="single" w:color="000000" w:sz="4" w:space="0"/>
            </w:tcBorders>
            <w:noWrap w:val="0"/>
            <w:vAlign w:val="center"/>
          </w:tcPr>
          <w:p w14:paraId="4252F8F3">
            <w:pPr>
              <w:spacing w:line="360" w:lineRule="exact"/>
              <w:jc w:val="center"/>
              <w:rPr>
                <w:rFonts w:hint="eastAsia" w:ascii="仿宋_GB2312" w:hAnsi="仿宋_GB2312" w:eastAsia="仿宋_GB2312" w:cs="仿宋_GB2312"/>
                <w:color w:val="auto"/>
                <w:sz w:val="32"/>
                <w:szCs w:val="32"/>
              </w:rPr>
            </w:pPr>
          </w:p>
        </w:tc>
        <w:tc>
          <w:tcPr>
            <w:tcW w:w="993" w:type="dxa"/>
            <w:tcBorders>
              <w:top w:val="single" w:color="000000" w:sz="4" w:space="0"/>
              <w:left w:val="nil"/>
              <w:bottom w:val="single" w:color="000000" w:sz="4" w:space="0"/>
              <w:right w:val="single" w:color="000000" w:sz="4" w:space="0"/>
            </w:tcBorders>
            <w:noWrap w:val="0"/>
            <w:vAlign w:val="center"/>
          </w:tcPr>
          <w:p w14:paraId="1A95574B">
            <w:pPr>
              <w:spacing w:line="360" w:lineRule="exact"/>
              <w:jc w:val="center"/>
              <w:rPr>
                <w:rFonts w:hint="eastAsia" w:ascii="仿宋_GB2312" w:hAnsi="仿宋_GB2312" w:eastAsia="仿宋_GB2312" w:cs="仿宋_GB2312"/>
                <w:color w:val="auto"/>
                <w:sz w:val="32"/>
                <w:szCs w:val="32"/>
              </w:rPr>
            </w:pPr>
          </w:p>
        </w:tc>
      </w:tr>
      <w:tr w14:paraId="28A360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44" w:hRule="atLeast"/>
        </w:trPr>
        <w:tc>
          <w:tcPr>
            <w:tcW w:w="975" w:type="dxa"/>
            <w:vMerge w:val="continue"/>
            <w:tcBorders>
              <w:top w:val="nil"/>
              <w:left w:val="single" w:color="000000" w:sz="4" w:space="0"/>
              <w:bottom w:val="single" w:color="000000" w:sz="4" w:space="0"/>
              <w:right w:val="single" w:color="000000" w:sz="4" w:space="0"/>
            </w:tcBorders>
            <w:noWrap w:val="0"/>
            <w:vAlign w:val="center"/>
          </w:tcPr>
          <w:p w14:paraId="10D1A787">
            <w:pPr>
              <w:widowControl/>
              <w:jc w:val="left"/>
              <w:rPr>
                <w:rFonts w:hint="eastAsia" w:ascii="仿宋_GB2312" w:hAnsi="仿宋_GB2312" w:eastAsia="仿宋_GB2312" w:cs="仿宋_GB2312"/>
                <w:color w:val="auto"/>
                <w:sz w:val="32"/>
                <w:szCs w:val="32"/>
              </w:rPr>
            </w:pPr>
          </w:p>
        </w:tc>
        <w:tc>
          <w:tcPr>
            <w:tcW w:w="4819" w:type="dxa"/>
            <w:tcBorders>
              <w:top w:val="single" w:color="000000" w:sz="4" w:space="0"/>
              <w:left w:val="nil"/>
              <w:bottom w:val="single" w:color="000000" w:sz="4" w:space="0"/>
              <w:right w:val="single" w:color="000000" w:sz="4" w:space="0"/>
            </w:tcBorders>
            <w:noWrap w:val="0"/>
            <w:vAlign w:val="center"/>
          </w:tcPr>
          <w:p w14:paraId="7AD406BE">
            <w:pPr>
              <w:spacing w:line="360" w:lineRule="exact"/>
              <w:jc w:val="left"/>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2、制定并执行各岗位职责。</w:t>
            </w:r>
          </w:p>
        </w:tc>
        <w:tc>
          <w:tcPr>
            <w:tcW w:w="1749" w:type="dxa"/>
            <w:vMerge w:val="continue"/>
            <w:tcBorders>
              <w:top w:val="nil"/>
              <w:left w:val="nil"/>
              <w:bottom w:val="single" w:color="000000" w:sz="4" w:space="0"/>
              <w:right w:val="single" w:color="000000" w:sz="4" w:space="0"/>
            </w:tcBorders>
            <w:noWrap w:val="0"/>
            <w:vAlign w:val="center"/>
          </w:tcPr>
          <w:p w14:paraId="05A5247B">
            <w:pPr>
              <w:widowControl/>
              <w:jc w:val="left"/>
              <w:rPr>
                <w:rFonts w:hint="eastAsia" w:ascii="仿宋_GB2312" w:hAnsi="仿宋_GB2312" w:eastAsia="仿宋_GB2312" w:cs="仿宋_GB2312"/>
                <w:color w:val="auto"/>
                <w:sz w:val="32"/>
                <w:szCs w:val="32"/>
              </w:rPr>
            </w:pPr>
          </w:p>
        </w:tc>
        <w:tc>
          <w:tcPr>
            <w:tcW w:w="1026" w:type="dxa"/>
            <w:tcBorders>
              <w:top w:val="single" w:color="000000" w:sz="4" w:space="0"/>
              <w:left w:val="nil"/>
              <w:bottom w:val="single" w:color="000000" w:sz="4" w:space="0"/>
              <w:right w:val="single" w:color="000000" w:sz="4" w:space="0"/>
            </w:tcBorders>
            <w:noWrap w:val="0"/>
            <w:vAlign w:val="center"/>
          </w:tcPr>
          <w:p w14:paraId="58B817C5">
            <w:pPr>
              <w:spacing w:line="360" w:lineRule="exact"/>
              <w:jc w:val="center"/>
              <w:rPr>
                <w:rFonts w:hint="eastAsia" w:ascii="仿宋_GB2312" w:hAnsi="仿宋_GB2312" w:eastAsia="仿宋_GB2312" w:cs="仿宋_GB2312"/>
                <w:color w:val="auto"/>
                <w:sz w:val="32"/>
                <w:szCs w:val="32"/>
              </w:rPr>
            </w:pPr>
          </w:p>
        </w:tc>
        <w:tc>
          <w:tcPr>
            <w:tcW w:w="993" w:type="dxa"/>
            <w:tcBorders>
              <w:top w:val="single" w:color="000000" w:sz="4" w:space="0"/>
              <w:left w:val="nil"/>
              <w:bottom w:val="single" w:color="000000" w:sz="4" w:space="0"/>
              <w:right w:val="single" w:color="000000" w:sz="4" w:space="0"/>
            </w:tcBorders>
            <w:noWrap w:val="0"/>
            <w:vAlign w:val="center"/>
          </w:tcPr>
          <w:p w14:paraId="1A132320">
            <w:pPr>
              <w:spacing w:line="360" w:lineRule="exact"/>
              <w:jc w:val="center"/>
              <w:rPr>
                <w:rFonts w:hint="eastAsia" w:ascii="仿宋_GB2312" w:hAnsi="仿宋_GB2312" w:eastAsia="仿宋_GB2312" w:cs="仿宋_GB2312"/>
                <w:color w:val="auto"/>
                <w:sz w:val="32"/>
                <w:szCs w:val="32"/>
              </w:rPr>
            </w:pPr>
          </w:p>
        </w:tc>
      </w:tr>
      <w:tr w14:paraId="6DC35C6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44" w:hRule="atLeast"/>
        </w:trPr>
        <w:tc>
          <w:tcPr>
            <w:tcW w:w="975" w:type="dxa"/>
            <w:vMerge w:val="continue"/>
            <w:tcBorders>
              <w:top w:val="nil"/>
              <w:left w:val="single" w:color="000000" w:sz="4" w:space="0"/>
              <w:bottom w:val="single" w:color="000000" w:sz="4" w:space="0"/>
              <w:right w:val="single" w:color="000000" w:sz="4" w:space="0"/>
            </w:tcBorders>
            <w:noWrap w:val="0"/>
            <w:vAlign w:val="center"/>
          </w:tcPr>
          <w:p w14:paraId="07FCC742">
            <w:pPr>
              <w:widowControl/>
              <w:jc w:val="left"/>
              <w:rPr>
                <w:rFonts w:hint="eastAsia" w:ascii="仿宋_GB2312" w:hAnsi="仿宋_GB2312" w:eastAsia="仿宋_GB2312" w:cs="仿宋_GB2312"/>
                <w:color w:val="auto"/>
                <w:sz w:val="32"/>
                <w:szCs w:val="32"/>
              </w:rPr>
            </w:pPr>
          </w:p>
        </w:tc>
        <w:tc>
          <w:tcPr>
            <w:tcW w:w="4819" w:type="dxa"/>
            <w:tcBorders>
              <w:top w:val="single" w:color="000000" w:sz="4" w:space="0"/>
              <w:left w:val="nil"/>
              <w:bottom w:val="single" w:color="000000" w:sz="4" w:space="0"/>
              <w:right w:val="single" w:color="000000" w:sz="4" w:space="0"/>
            </w:tcBorders>
            <w:noWrap w:val="0"/>
            <w:vAlign w:val="center"/>
          </w:tcPr>
          <w:p w14:paraId="3DC314B1">
            <w:pPr>
              <w:spacing w:line="360" w:lineRule="exact"/>
              <w:jc w:val="left"/>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3、制定并执行卫生责任划分制度。</w:t>
            </w:r>
          </w:p>
        </w:tc>
        <w:tc>
          <w:tcPr>
            <w:tcW w:w="1749" w:type="dxa"/>
            <w:vMerge w:val="continue"/>
            <w:tcBorders>
              <w:top w:val="nil"/>
              <w:left w:val="nil"/>
              <w:bottom w:val="single" w:color="000000" w:sz="4" w:space="0"/>
              <w:right w:val="single" w:color="000000" w:sz="4" w:space="0"/>
            </w:tcBorders>
            <w:noWrap w:val="0"/>
            <w:vAlign w:val="center"/>
          </w:tcPr>
          <w:p w14:paraId="625BFF78">
            <w:pPr>
              <w:widowControl/>
              <w:jc w:val="left"/>
              <w:rPr>
                <w:rFonts w:hint="eastAsia" w:ascii="仿宋_GB2312" w:hAnsi="仿宋_GB2312" w:eastAsia="仿宋_GB2312" w:cs="仿宋_GB2312"/>
                <w:color w:val="auto"/>
                <w:sz w:val="32"/>
                <w:szCs w:val="32"/>
              </w:rPr>
            </w:pPr>
          </w:p>
        </w:tc>
        <w:tc>
          <w:tcPr>
            <w:tcW w:w="1026" w:type="dxa"/>
            <w:tcBorders>
              <w:top w:val="single" w:color="000000" w:sz="4" w:space="0"/>
              <w:left w:val="nil"/>
              <w:bottom w:val="single" w:color="000000" w:sz="4" w:space="0"/>
              <w:right w:val="single" w:color="000000" w:sz="4" w:space="0"/>
            </w:tcBorders>
            <w:noWrap w:val="0"/>
            <w:vAlign w:val="center"/>
          </w:tcPr>
          <w:p w14:paraId="7F5861BE">
            <w:pPr>
              <w:spacing w:line="360" w:lineRule="exact"/>
              <w:jc w:val="center"/>
              <w:rPr>
                <w:rFonts w:hint="eastAsia" w:ascii="仿宋_GB2312" w:hAnsi="仿宋_GB2312" w:eastAsia="仿宋_GB2312" w:cs="仿宋_GB2312"/>
                <w:color w:val="auto"/>
                <w:sz w:val="32"/>
                <w:szCs w:val="32"/>
              </w:rPr>
            </w:pPr>
          </w:p>
        </w:tc>
        <w:tc>
          <w:tcPr>
            <w:tcW w:w="993" w:type="dxa"/>
            <w:tcBorders>
              <w:top w:val="single" w:color="000000" w:sz="4" w:space="0"/>
              <w:left w:val="nil"/>
              <w:bottom w:val="single" w:color="000000" w:sz="4" w:space="0"/>
              <w:right w:val="single" w:color="000000" w:sz="4" w:space="0"/>
            </w:tcBorders>
            <w:noWrap w:val="0"/>
            <w:vAlign w:val="center"/>
          </w:tcPr>
          <w:p w14:paraId="365B4A36">
            <w:pPr>
              <w:spacing w:line="360" w:lineRule="exact"/>
              <w:jc w:val="center"/>
              <w:rPr>
                <w:rFonts w:hint="eastAsia" w:ascii="仿宋_GB2312" w:hAnsi="仿宋_GB2312" w:eastAsia="仿宋_GB2312" w:cs="仿宋_GB2312"/>
                <w:color w:val="auto"/>
                <w:sz w:val="32"/>
                <w:szCs w:val="32"/>
              </w:rPr>
            </w:pPr>
          </w:p>
        </w:tc>
      </w:tr>
      <w:tr w14:paraId="2CBDF95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44" w:hRule="atLeast"/>
        </w:trPr>
        <w:tc>
          <w:tcPr>
            <w:tcW w:w="975" w:type="dxa"/>
            <w:vMerge w:val="continue"/>
            <w:tcBorders>
              <w:top w:val="nil"/>
              <w:left w:val="single" w:color="000000" w:sz="4" w:space="0"/>
              <w:bottom w:val="single" w:color="000000" w:sz="4" w:space="0"/>
              <w:right w:val="single" w:color="000000" w:sz="4" w:space="0"/>
            </w:tcBorders>
            <w:noWrap w:val="0"/>
            <w:vAlign w:val="center"/>
          </w:tcPr>
          <w:p w14:paraId="57749C0F">
            <w:pPr>
              <w:widowControl/>
              <w:jc w:val="left"/>
              <w:rPr>
                <w:rFonts w:hint="eastAsia" w:ascii="仿宋_GB2312" w:hAnsi="仿宋_GB2312" w:eastAsia="仿宋_GB2312" w:cs="仿宋_GB2312"/>
                <w:color w:val="auto"/>
                <w:sz w:val="32"/>
                <w:szCs w:val="32"/>
              </w:rPr>
            </w:pPr>
          </w:p>
        </w:tc>
        <w:tc>
          <w:tcPr>
            <w:tcW w:w="4819" w:type="dxa"/>
            <w:tcBorders>
              <w:top w:val="single" w:color="000000" w:sz="4" w:space="0"/>
              <w:left w:val="nil"/>
              <w:bottom w:val="single" w:color="000000" w:sz="4" w:space="0"/>
              <w:right w:val="single" w:color="000000" w:sz="4" w:space="0"/>
            </w:tcBorders>
            <w:noWrap w:val="0"/>
            <w:vAlign w:val="center"/>
          </w:tcPr>
          <w:p w14:paraId="2BFA67E9">
            <w:pPr>
              <w:spacing w:line="360" w:lineRule="exact"/>
              <w:jc w:val="left"/>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4、制定并执行粗加工管理制度。</w:t>
            </w:r>
          </w:p>
        </w:tc>
        <w:tc>
          <w:tcPr>
            <w:tcW w:w="1749" w:type="dxa"/>
            <w:vMerge w:val="continue"/>
            <w:tcBorders>
              <w:top w:val="nil"/>
              <w:left w:val="nil"/>
              <w:bottom w:val="single" w:color="000000" w:sz="4" w:space="0"/>
              <w:right w:val="single" w:color="000000" w:sz="4" w:space="0"/>
            </w:tcBorders>
            <w:noWrap w:val="0"/>
            <w:vAlign w:val="center"/>
          </w:tcPr>
          <w:p w14:paraId="3E60904B">
            <w:pPr>
              <w:widowControl/>
              <w:jc w:val="left"/>
              <w:rPr>
                <w:rFonts w:hint="eastAsia" w:ascii="仿宋_GB2312" w:hAnsi="仿宋_GB2312" w:eastAsia="仿宋_GB2312" w:cs="仿宋_GB2312"/>
                <w:color w:val="auto"/>
                <w:sz w:val="32"/>
                <w:szCs w:val="32"/>
              </w:rPr>
            </w:pPr>
          </w:p>
        </w:tc>
        <w:tc>
          <w:tcPr>
            <w:tcW w:w="1026" w:type="dxa"/>
            <w:tcBorders>
              <w:top w:val="single" w:color="000000" w:sz="4" w:space="0"/>
              <w:left w:val="nil"/>
              <w:bottom w:val="single" w:color="000000" w:sz="4" w:space="0"/>
              <w:right w:val="single" w:color="000000" w:sz="4" w:space="0"/>
            </w:tcBorders>
            <w:noWrap w:val="0"/>
            <w:vAlign w:val="center"/>
          </w:tcPr>
          <w:p w14:paraId="61426264">
            <w:pPr>
              <w:spacing w:line="360" w:lineRule="exact"/>
              <w:jc w:val="center"/>
              <w:rPr>
                <w:rFonts w:hint="eastAsia" w:ascii="仿宋_GB2312" w:hAnsi="仿宋_GB2312" w:eastAsia="仿宋_GB2312" w:cs="仿宋_GB2312"/>
                <w:color w:val="auto"/>
                <w:sz w:val="32"/>
                <w:szCs w:val="32"/>
              </w:rPr>
            </w:pPr>
          </w:p>
        </w:tc>
        <w:tc>
          <w:tcPr>
            <w:tcW w:w="993" w:type="dxa"/>
            <w:tcBorders>
              <w:top w:val="single" w:color="000000" w:sz="4" w:space="0"/>
              <w:left w:val="nil"/>
              <w:bottom w:val="single" w:color="000000" w:sz="4" w:space="0"/>
              <w:right w:val="single" w:color="000000" w:sz="4" w:space="0"/>
            </w:tcBorders>
            <w:noWrap w:val="0"/>
            <w:vAlign w:val="center"/>
          </w:tcPr>
          <w:p w14:paraId="66067D60">
            <w:pPr>
              <w:spacing w:line="360" w:lineRule="exact"/>
              <w:jc w:val="center"/>
              <w:rPr>
                <w:rFonts w:hint="eastAsia" w:ascii="仿宋_GB2312" w:hAnsi="仿宋_GB2312" w:eastAsia="仿宋_GB2312" w:cs="仿宋_GB2312"/>
                <w:color w:val="auto"/>
                <w:sz w:val="32"/>
                <w:szCs w:val="32"/>
              </w:rPr>
            </w:pPr>
          </w:p>
        </w:tc>
      </w:tr>
      <w:tr w14:paraId="058AE66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44" w:hRule="atLeast"/>
        </w:trPr>
        <w:tc>
          <w:tcPr>
            <w:tcW w:w="975" w:type="dxa"/>
            <w:vMerge w:val="continue"/>
            <w:tcBorders>
              <w:top w:val="nil"/>
              <w:left w:val="single" w:color="000000" w:sz="4" w:space="0"/>
              <w:bottom w:val="single" w:color="000000" w:sz="4" w:space="0"/>
              <w:right w:val="single" w:color="000000" w:sz="4" w:space="0"/>
            </w:tcBorders>
            <w:noWrap w:val="0"/>
            <w:vAlign w:val="center"/>
          </w:tcPr>
          <w:p w14:paraId="1440B7CD">
            <w:pPr>
              <w:widowControl/>
              <w:jc w:val="left"/>
              <w:rPr>
                <w:rFonts w:hint="eastAsia" w:ascii="仿宋_GB2312" w:hAnsi="仿宋_GB2312" w:eastAsia="仿宋_GB2312" w:cs="仿宋_GB2312"/>
                <w:color w:val="auto"/>
                <w:sz w:val="32"/>
                <w:szCs w:val="32"/>
              </w:rPr>
            </w:pPr>
          </w:p>
        </w:tc>
        <w:tc>
          <w:tcPr>
            <w:tcW w:w="4819" w:type="dxa"/>
            <w:tcBorders>
              <w:top w:val="single" w:color="000000" w:sz="4" w:space="0"/>
              <w:left w:val="nil"/>
              <w:bottom w:val="single" w:color="000000" w:sz="4" w:space="0"/>
              <w:right w:val="single" w:color="000000" w:sz="4" w:space="0"/>
            </w:tcBorders>
            <w:noWrap w:val="0"/>
            <w:vAlign w:val="center"/>
          </w:tcPr>
          <w:p w14:paraId="1377F889">
            <w:pPr>
              <w:spacing w:line="360" w:lineRule="exact"/>
              <w:jc w:val="left"/>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5、制定并执行清洁消毒制度。</w:t>
            </w:r>
          </w:p>
        </w:tc>
        <w:tc>
          <w:tcPr>
            <w:tcW w:w="1749" w:type="dxa"/>
            <w:vMerge w:val="continue"/>
            <w:tcBorders>
              <w:top w:val="nil"/>
              <w:left w:val="nil"/>
              <w:bottom w:val="single" w:color="000000" w:sz="4" w:space="0"/>
              <w:right w:val="single" w:color="000000" w:sz="4" w:space="0"/>
            </w:tcBorders>
            <w:noWrap w:val="0"/>
            <w:vAlign w:val="center"/>
          </w:tcPr>
          <w:p w14:paraId="330C7D6C">
            <w:pPr>
              <w:widowControl/>
              <w:jc w:val="left"/>
              <w:rPr>
                <w:rFonts w:hint="eastAsia" w:ascii="仿宋_GB2312" w:hAnsi="仿宋_GB2312" w:eastAsia="仿宋_GB2312" w:cs="仿宋_GB2312"/>
                <w:color w:val="auto"/>
                <w:sz w:val="32"/>
                <w:szCs w:val="32"/>
              </w:rPr>
            </w:pPr>
          </w:p>
        </w:tc>
        <w:tc>
          <w:tcPr>
            <w:tcW w:w="1026" w:type="dxa"/>
            <w:tcBorders>
              <w:top w:val="single" w:color="000000" w:sz="4" w:space="0"/>
              <w:left w:val="nil"/>
              <w:bottom w:val="single" w:color="000000" w:sz="4" w:space="0"/>
              <w:right w:val="single" w:color="000000" w:sz="4" w:space="0"/>
            </w:tcBorders>
            <w:noWrap w:val="0"/>
            <w:vAlign w:val="center"/>
          </w:tcPr>
          <w:p w14:paraId="232B61AF">
            <w:pPr>
              <w:spacing w:line="360" w:lineRule="exact"/>
              <w:jc w:val="center"/>
              <w:rPr>
                <w:rFonts w:hint="eastAsia" w:ascii="仿宋_GB2312" w:hAnsi="仿宋_GB2312" w:eastAsia="仿宋_GB2312" w:cs="仿宋_GB2312"/>
                <w:color w:val="auto"/>
                <w:sz w:val="32"/>
                <w:szCs w:val="32"/>
              </w:rPr>
            </w:pPr>
          </w:p>
        </w:tc>
        <w:tc>
          <w:tcPr>
            <w:tcW w:w="993" w:type="dxa"/>
            <w:tcBorders>
              <w:top w:val="single" w:color="000000" w:sz="4" w:space="0"/>
              <w:left w:val="nil"/>
              <w:bottom w:val="single" w:color="000000" w:sz="4" w:space="0"/>
              <w:right w:val="single" w:color="000000" w:sz="4" w:space="0"/>
            </w:tcBorders>
            <w:noWrap w:val="0"/>
            <w:vAlign w:val="center"/>
          </w:tcPr>
          <w:p w14:paraId="49C82360">
            <w:pPr>
              <w:spacing w:line="360" w:lineRule="exact"/>
              <w:jc w:val="center"/>
              <w:rPr>
                <w:rFonts w:hint="eastAsia" w:ascii="仿宋_GB2312" w:hAnsi="仿宋_GB2312" w:eastAsia="仿宋_GB2312" w:cs="仿宋_GB2312"/>
                <w:color w:val="auto"/>
                <w:sz w:val="32"/>
                <w:szCs w:val="32"/>
              </w:rPr>
            </w:pPr>
          </w:p>
        </w:tc>
      </w:tr>
      <w:tr w14:paraId="6136BA9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44" w:hRule="atLeast"/>
        </w:trPr>
        <w:tc>
          <w:tcPr>
            <w:tcW w:w="975" w:type="dxa"/>
            <w:vMerge w:val="continue"/>
            <w:tcBorders>
              <w:top w:val="nil"/>
              <w:left w:val="single" w:color="000000" w:sz="4" w:space="0"/>
              <w:bottom w:val="single" w:color="000000" w:sz="4" w:space="0"/>
              <w:right w:val="single" w:color="000000" w:sz="4" w:space="0"/>
            </w:tcBorders>
            <w:noWrap w:val="0"/>
            <w:vAlign w:val="center"/>
          </w:tcPr>
          <w:p w14:paraId="724529E8">
            <w:pPr>
              <w:widowControl/>
              <w:jc w:val="left"/>
              <w:rPr>
                <w:rFonts w:hint="eastAsia" w:ascii="仿宋_GB2312" w:hAnsi="仿宋_GB2312" w:eastAsia="仿宋_GB2312" w:cs="仿宋_GB2312"/>
                <w:color w:val="auto"/>
                <w:sz w:val="32"/>
                <w:szCs w:val="32"/>
              </w:rPr>
            </w:pPr>
          </w:p>
        </w:tc>
        <w:tc>
          <w:tcPr>
            <w:tcW w:w="4819" w:type="dxa"/>
            <w:tcBorders>
              <w:top w:val="single" w:color="000000" w:sz="4" w:space="0"/>
              <w:left w:val="nil"/>
              <w:bottom w:val="single" w:color="000000" w:sz="4" w:space="0"/>
              <w:right w:val="single" w:color="000000" w:sz="4" w:space="0"/>
            </w:tcBorders>
            <w:noWrap w:val="0"/>
            <w:vAlign w:val="center"/>
          </w:tcPr>
          <w:p w14:paraId="15D78817">
            <w:pPr>
              <w:spacing w:line="360" w:lineRule="exact"/>
              <w:jc w:val="left"/>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6、制定并执行烹调加工管理制度。</w:t>
            </w:r>
          </w:p>
        </w:tc>
        <w:tc>
          <w:tcPr>
            <w:tcW w:w="1749" w:type="dxa"/>
            <w:vMerge w:val="continue"/>
            <w:tcBorders>
              <w:top w:val="nil"/>
              <w:left w:val="nil"/>
              <w:bottom w:val="single" w:color="000000" w:sz="4" w:space="0"/>
              <w:right w:val="single" w:color="000000" w:sz="4" w:space="0"/>
            </w:tcBorders>
            <w:noWrap w:val="0"/>
            <w:vAlign w:val="center"/>
          </w:tcPr>
          <w:p w14:paraId="3E8EC790">
            <w:pPr>
              <w:widowControl/>
              <w:jc w:val="left"/>
              <w:rPr>
                <w:rFonts w:hint="eastAsia" w:ascii="仿宋_GB2312" w:hAnsi="仿宋_GB2312" w:eastAsia="仿宋_GB2312" w:cs="仿宋_GB2312"/>
                <w:color w:val="auto"/>
                <w:sz w:val="32"/>
                <w:szCs w:val="32"/>
              </w:rPr>
            </w:pPr>
          </w:p>
        </w:tc>
        <w:tc>
          <w:tcPr>
            <w:tcW w:w="1026" w:type="dxa"/>
            <w:tcBorders>
              <w:top w:val="single" w:color="000000" w:sz="4" w:space="0"/>
              <w:left w:val="nil"/>
              <w:bottom w:val="single" w:color="000000" w:sz="4" w:space="0"/>
              <w:right w:val="single" w:color="000000" w:sz="4" w:space="0"/>
            </w:tcBorders>
            <w:noWrap w:val="0"/>
            <w:vAlign w:val="center"/>
          </w:tcPr>
          <w:p w14:paraId="6A34FE7F">
            <w:pPr>
              <w:spacing w:line="360" w:lineRule="exact"/>
              <w:jc w:val="center"/>
              <w:rPr>
                <w:rFonts w:hint="eastAsia" w:ascii="仿宋_GB2312" w:hAnsi="仿宋_GB2312" w:eastAsia="仿宋_GB2312" w:cs="仿宋_GB2312"/>
                <w:color w:val="auto"/>
                <w:sz w:val="32"/>
                <w:szCs w:val="32"/>
              </w:rPr>
            </w:pPr>
          </w:p>
        </w:tc>
        <w:tc>
          <w:tcPr>
            <w:tcW w:w="993" w:type="dxa"/>
            <w:tcBorders>
              <w:top w:val="single" w:color="000000" w:sz="4" w:space="0"/>
              <w:left w:val="nil"/>
              <w:bottom w:val="single" w:color="000000" w:sz="4" w:space="0"/>
              <w:right w:val="single" w:color="000000" w:sz="4" w:space="0"/>
            </w:tcBorders>
            <w:noWrap w:val="0"/>
            <w:vAlign w:val="center"/>
          </w:tcPr>
          <w:p w14:paraId="02361250">
            <w:pPr>
              <w:spacing w:line="360" w:lineRule="exact"/>
              <w:jc w:val="center"/>
              <w:rPr>
                <w:rFonts w:hint="eastAsia" w:ascii="仿宋_GB2312" w:hAnsi="仿宋_GB2312" w:eastAsia="仿宋_GB2312" w:cs="仿宋_GB2312"/>
                <w:color w:val="auto"/>
                <w:sz w:val="32"/>
                <w:szCs w:val="32"/>
              </w:rPr>
            </w:pPr>
          </w:p>
        </w:tc>
      </w:tr>
      <w:tr w14:paraId="525BF4A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44" w:hRule="atLeast"/>
        </w:trPr>
        <w:tc>
          <w:tcPr>
            <w:tcW w:w="975" w:type="dxa"/>
            <w:vMerge w:val="continue"/>
            <w:tcBorders>
              <w:top w:val="nil"/>
              <w:left w:val="single" w:color="000000" w:sz="4" w:space="0"/>
              <w:bottom w:val="single" w:color="000000" w:sz="4" w:space="0"/>
              <w:right w:val="single" w:color="000000" w:sz="4" w:space="0"/>
            </w:tcBorders>
            <w:noWrap w:val="0"/>
            <w:vAlign w:val="center"/>
          </w:tcPr>
          <w:p w14:paraId="1EC17EB3">
            <w:pPr>
              <w:widowControl/>
              <w:jc w:val="left"/>
              <w:rPr>
                <w:rFonts w:hint="eastAsia" w:ascii="仿宋_GB2312" w:hAnsi="仿宋_GB2312" w:eastAsia="仿宋_GB2312" w:cs="仿宋_GB2312"/>
                <w:color w:val="auto"/>
                <w:sz w:val="32"/>
                <w:szCs w:val="32"/>
              </w:rPr>
            </w:pPr>
          </w:p>
        </w:tc>
        <w:tc>
          <w:tcPr>
            <w:tcW w:w="4819" w:type="dxa"/>
            <w:tcBorders>
              <w:top w:val="single" w:color="000000" w:sz="4" w:space="0"/>
              <w:left w:val="nil"/>
              <w:bottom w:val="single" w:color="000000" w:sz="4" w:space="0"/>
              <w:right w:val="single" w:color="000000" w:sz="4" w:space="0"/>
            </w:tcBorders>
            <w:noWrap w:val="0"/>
            <w:vAlign w:val="center"/>
          </w:tcPr>
          <w:p w14:paraId="7801ABFC">
            <w:pPr>
              <w:spacing w:line="360" w:lineRule="exact"/>
              <w:jc w:val="left"/>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7、制定并执行面点操作管理制度。</w:t>
            </w:r>
          </w:p>
        </w:tc>
        <w:tc>
          <w:tcPr>
            <w:tcW w:w="1749" w:type="dxa"/>
            <w:vMerge w:val="continue"/>
            <w:tcBorders>
              <w:top w:val="nil"/>
              <w:left w:val="nil"/>
              <w:bottom w:val="single" w:color="000000" w:sz="4" w:space="0"/>
              <w:right w:val="single" w:color="000000" w:sz="4" w:space="0"/>
            </w:tcBorders>
            <w:noWrap w:val="0"/>
            <w:vAlign w:val="center"/>
          </w:tcPr>
          <w:p w14:paraId="0D659DC2">
            <w:pPr>
              <w:widowControl/>
              <w:jc w:val="left"/>
              <w:rPr>
                <w:rFonts w:hint="eastAsia" w:ascii="仿宋_GB2312" w:hAnsi="仿宋_GB2312" w:eastAsia="仿宋_GB2312" w:cs="仿宋_GB2312"/>
                <w:color w:val="auto"/>
                <w:sz w:val="32"/>
                <w:szCs w:val="32"/>
              </w:rPr>
            </w:pPr>
          </w:p>
        </w:tc>
        <w:tc>
          <w:tcPr>
            <w:tcW w:w="1026" w:type="dxa"/>
            <w:tcBorders>
              <w:top w:val="single" w:color="000000" w:sz="4" w:space="0"/>
              <w:left w:val="nil"/>
              <w:bottom w:val="single" w:color="000000" w:sz="4" w:space="0"/>
              <w:right w:val="single" w:color="000000" w:sz="4" w:space="0"/>
            </w:tcBorders>
            <w:noWrap w:val="0"/>
            <w:vAlign w:val="center"/>
          </w:tcPr>
          <w:p w14:paraId="263ECC34">
            <w:pPr>
              <w:spacing w:line="360" w:lineRule="exact"/>
              <w:jc w:val="center"/>
              <w:rPr>
                <w:rFonts w:hint="eastAsia" w:ascii="仿宋_GB2312" w:hAnsi="仿宋_GB2312" w:eastAsia="仿宋_GB2312" w:cs="仿宋_GB2312"/>
                <w:color w:val="auto"/>
                <w:sz w:val="32"/>
                <w:szCs w:val="32"/>
              </w:rPr>
            </w:pPr>
          </w:p>
        </w:tc>
        <w:tc>
          <w:tcPr>
            <w:tcW w:w="993" w:type="dxa"/>
            <w:tcBorders>
              <w:top w:val="single" w:color="000000" w:sz="4" w:space="0"/>
              <w:left w:val="nil"/>
              <w:bottom w:val="single" w:color="000000" w:sz="4" w:space="0"/>
              <w:right w:val="single" w:color="000000" w:sz="4" w:space="0"/>
            </w:tcBorders>
            <w:noWrap w:val="0"/>
            <w:vAlign w:val="center"/>
          </w:tcPr>
          <w:p w14:paraId="2902644F">
            <w:pPr>
              <w:spacing w:line="360" w:lineRule="exact"/>
              <w:jc w:val="center"/>
              <w:rPr>
                <w:rFonts w:hint="eastAsia" w:ascii="仿宋_GB2312" w:hAnsi="仿宋_GB2312" w:eastAsia="仿宋_GB2312" w:cs="仿宋_GB2312"/>
                <w:color w:val="auto"/>
                <w:sz w:val="32"/>
                <w:szCs w:val="32"/>
              </w:rPr>
            </w:pPr>
          </w:p>
        </w:tc>
      </w:tr>
      <w:tr w14:paraId="5AB50F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44" w:hRule="atLeast"/>
        </w:trPr>
        <w:tc>
          <w:tcPr>
            <w:tcW w:w="975" w:type="dxa"/>
            <w:vMerge w:val="continue"/>
            <w:tcBorders>
              <w:top w:val="nil"/>
              <w:left w:val="single" w:color="000000" w:sz="4" w:space="0"/>
              <w:bottom w:val="single" w:color="000000" w:sz="4" w:space="0"/>
              <w:right w:val="single" w:color="000000" w:sz="4" w:space="0"/>
            </w:tcBorders>
            <w:noWrap w:val="0"/>
            <w:vAlign w:val="center"/>
          </w:tcPr>
          <w:p w14:paraId="7B7479D2">
            <w:pPr>
              <w:widowControl/>
              <w:jc w:val="left"/>
              <w:rPr>
                <w:rFonts w:hint="eastAsia" w:ascii="仿宋_GB2312" w:hAnsi="仿宋_GB2312" w:eastAsia="仿宋_GB2312" w:cs="仿宋_GB2312"/>
                <w:color w:val="auto"/>
                <w:sz w:val="32"/>
                <w:szCs w:val="32"/>
              </w:rPr>
            </w:pPr>
          </w:p>
        </w:tc>
        <w:tc>
          <w:tcPr>
            <w:tcW w:w="4819" w:type="dxa"/>
            <w:tcBorders>
              <w:top w:val="single" w:color="000000" w:sz="4" w:space="0"/>
              <w:left w:val="nil"/>
              <w:bottom w:val="single" w:color="000000" w:sz="4" w:space="0"/>
              <w:right w:val="single" w:color="000000" w:sz="4" w:space="0"/>
            </w:tcBorders>
            <w:noWrap w:val="0"/>
            <w:vAlign w:val="center"/>
          </w:tcPr>
          <w:p w14:paraId="310A523A">
            <w:pPr>
              <w:spacing w:line="360" w:lineRule="exact"/>
              <w:jc w:val="left"/>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8、制定并执行安全防范制度与措施。</w:t>
            </w:r>
          </w:p>
        </w:tc>
        <w:tc>
          <w:tcPr>
            <w:tcW w:w="1749" w:type="dxa"/>
            <w:vMerge w:val="continue"/>
            <w:tcBorders>
              <w:top w:val="nil"/>
              <w:left w:val="nil"/>
              <w:bottom w:val="single" w:color="000000" w:sz="4" w:space="0"/>
              <w:right w:val="single" w:color="000000" w:sz="4" w:space="0"/>
            </w:tcBorders>
            <w:noWrap w:val="0"/>
            <w:vAlign w:val="center"/>
          </w:tcPr>
          <w:p w14:paraId="2B82A3EE">
            <w:pPr>
              <w:widowControl/>
              <w:jc w:val="left"/>
              <w:rPr>
                <w:rFonts w:hint="eastAsia" w:ascii="仿宋_GB2312" w:hAnsi="仿宋_GB2312" w:eastAsia="仿宋_GB2312" w:cs="仿宋_GB2312"/>
                <w:color w:val="auto"/>
                <w:sz w:val="32"/>
                <w:szCs w:val="32"/>
              </w:rPr>
            </w:pPr>
          </w:p>
        </w:tc>
        <w:tc>
          <w:tcPr>
            <w:tcW w:w="1026" w:type="dxa"/>
            <w:tcBorders>
              <w:top w:val="single" w:color="000000" w:sz="4" w:space="0"/>
              <w:left w:val="nil"/>
              <w:bottom w:val="single" w:color="000000" w:sz="4" w:space="0"/>
              <w:right w:val="single" w:color="000000" w:sz="4" w:space="0"/>
            </w:tcBorders>
            <w:noWrap w:val="0"/>
            <w:vAlign w:val="center"/>
          </w:tcPr>
          <w:p w14:paraId="3FB5BA64">
            <w:pPr>
              <w:spacing w:line="360" w:lineRule="exact"/>
              <w:jc w:val="center"/>
              <w:rPr>
                <w:rFonts w:hint="eastAsia" w:ascii="仿宋_GB2312" w:hAnsi="仿宋_GB2312" w:eastAsia="仿宋_GB2312" w:cs="仿宋_GB2312"/>
                <w:color w:val="auto"/>
                <w:sz w:val="32"/>
                <w:szCs w:val="32"/>
              </w:rPr>
            </w:pPr>
          </w:p>
        </w:tc>
        <w:tc>
          <w:tcPr>
            <w:tcW w:w="993" w:type="dxa"/>
            <w:tcBorders>
              <w:top w:val="single" w:color="000000" w:sz="4" w:space="0"/>
              <w:left w:val="nil"/>
              <w:bottom w:val="single" w:color="000000" w:sz="4" w:space="0"/>
              <w:right w:val="single" w:color="000000" w:sz="4" w:space="0"/>
            </w:tcBorders>
            <w:noWrap w:val="0"/>
            <w:vAlign w:val="center"/>
          </w:tcPr>
          <w:p w14:paraId="0BC47049">
            <w:pPr>
              <w:spacing w:line="360" w:lineRule="exact"/>
              <w:jc w:val="center"/>
              <w:rPr>
                <w:rFonts w:hint="eastAsia" w:ascii="仿宋_GB2312" w:hAnsi="仿宋_GB2312" w:eastAsia="仿宋_GB2312" w:cs="仿宋_GB2312"/>
                <w:color w:val="auto"/>
                <w:sz w:val="32"/>
                <w:szCs w:val="32"/>
              </w:rPr>
            </w:pPr>
          </w:p>
        </w:tc>
      </w:tr>
      <w:tr w14:paraId="076AD6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44" w:hRule="atLeast"/>
        </w:trPr>
        <w:tc>
          <w:tcPr>
            <w:tcW w:w="975" w:type="dxa"/>
            <w:vMerge w:val="continue"/>
            <w:tcBorders>
              <w:top w:val="nil"/>
              <w:left w:val="single" w:color="000000" w:sz="4" w:space="0"/>
              <w:bottom w:val="single" w:color="000000" w:sz="4" w:space="0"/>
              <w:right w:val="single" w:color="000000" w:sz="4" w:space="0"/>
            </w:tcBorders>
            <w:noWrap w:val="0"/>
            <w:vAlign w:val="center"/>
          </w:tcPr>
          <w:p w14:paraId="39226B1F">
            <w:pPr>
              <w:widowControl/>
              <w:jc w:val="left"/>
              <w:rPr>
                <w:rFonts w:hint="eastAsia" w:ascii="仿宋_GB2312" w:hAnsi="仿宋_GB2312" w:eastAsia="仿宋_GB2312" w:cs="仿宋_GB2312"/>
                <w:color w:val="auto"/>
                <w:sz w:val="32"/>
                <w:szCs w:val="32"/>
              </w:rPr>
            </w:pPr>
          </w:p>
        </w:tc>
        <w:tc>
          <w:tcPr>
            <w:tcW w:w="4819" w:type="dxa"/>
            <w:tcBorders>
              <w:top w:val="single" w:color="000000" w:sz="4" w:space="0"/>
              <w:left w:val="nil"/>
              <w:bottom w:val="single" w:color="000000" w:sz="4" w:space="0"/>
              <w:right w:val="single" w:color="000000" w:sz="4" w:space="0"/>
            </w:tcBorders>
            <w:noWrap w:val="0"/>
            <w:vAlign w:val="center"/>
          </w:tcPr>
          <w:p w14:paraId="1E50BDB5">
            <w:pPr>
              <w:spacing w:line="360" w:lineRule="exact"/>
              <w:jc w:val="left"/>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9、制定并执行食堂人员个人卫生制度。</w:t>
            </w:r>
          </w:p>
        </w:tc>
        <w:tc>
          <w:tcPr>
            <w:tcW w:w="1749" w:type="dxa"/>
            <w:vMerge w:val="continue"/>
            <w:tcBorders>
              <w:top w:val="nil"/>
              <w:left w:val="nil"/>
              <w:bottom w:val="single" w:color="000000" w:sz="4" w:space="0"/>
              <w:right w:val="single" w:color="000000" w:sz="4" w:space="0"/>
            </w:tcBorders>
            <w:noWrap w:val="0"/>
            <w:vAlign w:val="center"/>
          </w:tcPr>
          <w:p w14:paraId="6D702057">
            <w:pPr>
              <w:widowControl/>
              <w:jc w:val="left"/>
              <w:rPr>
                <w:rFonts w:hint="eastAsia" w:ascii="仿宋_GB2312" w:hAnsi="仿宋_GB2312" w:eastAsia="仿宋_GB2312" w:cs="仿宋_GB2312"/>
                <w:color w:val="auto"/>
                <w:sz w:val="32"/>
                <w:szCs w:val="32"/>
              </w:rPr>
            </w:pPr>
          </w:p>
        </w:tc>
        <w:tc>
          <w:tcPr>
            <w:tcW w:w="1026" w:type="dxa"/>
            <w:tcBorders>
              <w:top w:val="single" w:color="000000" w:sz="4" w:space="0"/>
              <w:left w:val="nil"/>
              <w:bottom w:val="single" w:color="000000" w:sz="4" w:space="0"/>
              <w:right w:val="single" w:color="000000" w:sz="4" w:space="0"/>
            </w:tcBorders>
            <w:noWrap w:val="0"/>
            <w:vAlign w:val="center"/>
          </w:tcPr>
          <w:p w14:paraId="693E55C1">
            <w:pPr>
              <w:spacing w:line="360" w:lineRule="exact"/>
              <w:jc w:val="center"/>
              <w:rPr>
                <w:rFonts w:hint="eastAsia" w:ascii="仿宋_GB2312" w:hAnsi="仿宋_GB2312" w:eastAsia="仿宋_GB2312" w:cs="仿宋_GB2312"/>
                <w:color w:val="auto"/>
                <w:sz w:val="32"/>
                <w:szCs w:val="32"/>
              </w:rPr>
            </w:pPr>
          </w:p>
        </w:tc>
        <w:tc>
          <w:tcPr>
            <w:tcW w:w="993" w:type="dxa"/>
            <w:tcBorders>
              <w:top w:val="single" w:color="000000" w:sz="4" w:space="0"/>
              <w:left w:val="nil"/>
              <w:bottom w:val="single" w:color="000000" w:sz="4" w:space="0"/>
              <w:right w:val="single" w:color="000000" w:sz="4" w:space="0"/>
            </w:tcBorders>
            <w:noWrap w:val="0"/>
            <w:vAlign w:val="center"/>
          </w:tcPr>
          <w:p w14:paraId="4B584B26">
            <w:pPr>
              <w:spacing w:line="360" w:lineRule="exact"/>
              <w:jc w:val="center"/>
              <w:rPr>
                <w:rFonts w:hint="eastAsia" w:ascii="仿宋_GB2312" w:hAnsi="仿宋_GB2312" w:eastAsia="仿宋_GB2312" w:cs="仿宋_GB2312"/>
                <w:color w:val="auto"/>
                <w:sz w:val="32"/>
                <w:szCs w:val="32"/>
              </w:rPr>
            </w:pPr>
          </w:p>
        </w:tc>
      </w:tr>
      <w:tr w14:paraId="1E1A2E7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44" w:hRule="atLeast"/>
        </w:trPr>
        <w:tc>
          <w:tcPr>
            <w:tcW w:w="975" w:type="dxa"/>
            <w:vMerge w:val="restart"/>
            <w:tcBorders>
              <w:top w:val="nil"/>
              <w:left w:val="single" w:color="000000" w:sz="4" w:space="0"/>
              <w:bottom w:val="single" w:color="000000" w:sz="4" w:space="0"/>
              <w:right w:val="single" w:color="000000" w:sz="4" w:space="0"/>
            </w:tcBorders>
            <w:noWrap w:val="0"/>
            <w:vAlign w:val="center"/>
          </w:tcPr>
          <w:p w14:paraId="4364388C">
            <w:pPr>
              <w:spacing w:line="360" w:lineRule="exact"/>
              <w:jc w:val="center"/>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品质保障</w:t>
            </w:r>
          </w:p>
        </w:tc>
        <w:tc>
          <w:tcPr>
            <w:tcW w:w="4819" w:type="dxa"/>
            <w:tcBorders>
              <w:top w:val="single" w:color="000000" w:sz="4" w:space="0"/>
              <w:left w:val="nil"/>
              <w:bottom w:val="single" w:color="000000" w:sz="4" w:space="0"/>
              <w:right w:val="single" w:color="000000" w:sz="4" w:space="0"/>
            </w:tcBorders>
            <w:noWrap w:val="0"/>
            <w:vAlign w:val="top"/>
          </w:tcPr>
          <w:p w14:paraId="780077D3">
            <w:pPr>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1、不得有霉烂、变质、老化的蔬菜食品入库。</w:t>
            </w:r>
          </w:p>
        </w:tc>
        <w:tc>
          <w:tcPr>
            <w:tcW w:w="1749" w:type="dxa"/>
            <w:vMerge w:val="restart"/>
            <w:tcBorders>
              <w:top w:val="nil"/>
              <w:left w:val="nil"/>
              <w:bottom w:val="single" w:color="000000" w:sz="4" w:space="0"/>
              <w:right w:val="single" w:color="000000" w:sz="4" w:space="0"/>
            </w:tcBorders>
            <w:noWrap w:val="0"/>
            <w:vAlign w:val="center"/>
          </w:tcPr>
          <w:p w14:paraId="2072D385">
            <w:pPr>
              <w:spacing w:line="360" w:lineRule="exact"/>
              <w:jc w:val="center"/>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每有1项未做到扣2分</w:t>
            </w:r>
          </w:p>
        </w:tc>
        <w:tc>
          <w:tcPr>
            <w:tcW w:w="1026" w:type="dxa"/>
            <w:tcBorders>
              <w:top w:val="single" w:color="000000" w:sz="4" w:space="0"/>
              <w:left w:val="nil"/>
              <w:bottom w:val="single" w:color="000000" w:sz="4" w:space="0"/>
              <w:right w:val="single" w:color="000000" w:sz="4" w:space="0"/>
            </w:tcBorders>
            <w:noWrap w:val="0"/>
            <w:vAlign w:val="top"/>
          </w:tcPr>
          <w:p w14:paraId="10ED275D">
            <w:pPr>
              <w:spacing w:line="360" w:lineRule="exact"/>
              <w:jc w:val="center"/>
              <w:rPr>
                <w:rFonts w:hint="eastAsia" w:ascii="仿宋_GB2312" w:hAnsi="仿宋_GB2312" w:eastAsia="仿宋_GB2312" w:cs="仿宋_GB2312"/>
                <w:color w:val="auto"/>
                <w:sz w:val="32"/>
                <w:szCs w:val="32"/>
              </w:rPr>
            </w:pPr>
          </w:p>
        </w:tc>
        <w:tc>
          <w:tcPr>
            <w:tcW w:w="993" w:type="dxa"/>
            <w:tcBorders>
              <w:top w:val="single" w:color="000000" w:sz="4" w:space="0"/>
              <w:left w:val="nil"/>
              <w:bottom w:val="single" w:color="000000" w:sz="4" w:space="0"/>
              <w:right w:val="single" w:color="000000" w:sz="4" w:space="0"/>
            </w:tcBorders>
            <w:noWrap w:val="0"/>
            <w:vAlign w:val="top"/>
          </w:tcPr>
          <w:p w14:paraId="68D2B20B">
            <w:pPr>
              <w:spacing w:line="360" w:lineRule="exact"/>
              <w:jc w:val="center"/>
              <w:rPr>
                <w:rFonts w:hint="eastAsia" w:ascii="仿宋_GB2312" w:hAnsi="仿宋_GB2312" w:eastAsia="仿宋_GB2312" w:cs="仿宋_GB2312"/>
                <w:color w:val="auto"/>
                <w:sz w:val="32"/>
                <w:szCs w:val="32"/>
              </w:rPr>
            </w:pPr>
          </w:p>
        </w:tc>
      </w:tr>
      <w:tr w14:paraId="3878E99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44" w:hRule="atLeast"/>
        </w:trPr>
        <w:tc>
          <w:tcPr>
            <w:tcW w:w="975" w:type="dxa"/>
            <w:vMerge w:val="continue"/>
            <w:tcBorders>
              <w:top w:val="nil"/>
              <w:left w:val="single" w:color="000000" w:sz="4" w:space="0"/>
              <w:bottom w:val="single" w:color="000000" w:sz="4" w:space="0"/>
              <w:right w:val="single" w:color="000000" w:sz="4" w:space="0"/>
            </w:tcBorders>
            <w:noWrap w:val="0"/>
            <w:vAlign w:val="center"/>
          </w:tcPr>
          <w:p w14:paraId="554921E4">
            <w:pPr>
              <w:widowControl/>
              <w:jc w:val="left"/>
              <w:rPr>
                <w:rFonts w:hint="eastAsia" w:ascii="仿宋_GB2312" w:hAnsi="仿宋_GB2312" w:eastAsia="仿宋_GB2312" w:cs="仿宋_GB2312"/>
                <w:color w:val="auto"/>
                <w:sz w:val="32"/>
                <w:szCs w:val="32"/>
              </w:rPr>
            </w:pPr>
          </w:p>
        </w:tc>
        <w:tc>
          <w:tcPr>
            <w:tcW w:w="4819" w:type="dxa"/>
            <w:tcBorders>
              <w:top w:val="single" w:color="000000" w:sz="4" w:space="0"/>
              <w:left w:val="nil"/>
              <w:bottom w:val="single" w:color="000000" w:sz="4" w:space="0"/>
              <w:right w:val="single" w:color="000000" w:sz="4" w:space="0"/>
            </w:tcBorders>
            <w:noWrap w:val="0"/>
            <w:vAlign w:val="top"/>
          </w:tcPr>
          <w:p w14:paraId="4636D2B6">
            <w:pPr>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2、拣菜人员必须将不合格的菜品分拣出来；已清洗的和未清洗的要分开放置，无乱堆放的现象。</w:t>
            </w:r>
          </w:p>
        </w:tc>
        <w:tc>
          <w:tcPr>
            <w:tcW w:w="1749" w:type="dxa"/>
            <w:vMerge w:val="continue"/>
            <w:tcBorders>
              <w:top w:val="nil"/>
              <w:left w:val="nil"/>
              <w:bottom w:val="single" w:color="000000" w:sz="4" w:space="0"/>
              <w:right w:val="single" w:color="000000" w:sz="4" w:space="0"/>
            </w:tcBorders>
            <w:noWrap w:val="0"/>
            <w:vAlign w:val="center"/>
          </w:tcPr>
          <w:p w14:paraId="200023DB">
            <w:pPr>
              <w:widowControl/>
              <w:jc w:val="left"/>
              <w:rPr>
                <w:rFonts w:hint="eastAsia" w:ascii="仿宋_GB2312" w:hAnsi="仿宋_GB2312" w:eastAsia="仿宋_GB2312" w:cs="仿宋_GB2312"/>
                <w:color w:val="auto"/>
                <w:sz w:val="32"/>
                <w:szCs w:val="32"/>
              </w:rPr>
            </w:pPr>
          </w:p>
        </w:tc>
        <w:tc>
          <w:tcPr>
            <w:tcW w:w="1026" w:type="dxa"/>
            <w:tcBorders>
              <w:top w:val="single" w:color="000000" w:sz="4" w:space="0"/>
              <w:left w:val="nil"/>
              <w:bottom w:val="single" w:color="000000" w:sz="4" w:space="0"/>
              <w:right w:val="single" w:color="000000" w:sz="4" w:space="0"/>
            </w:tcBorders>
            <w:noWrap w:val="0"/>
            <w:vAlign w:val="top"/>
          </w:tcPr>
          <w:p w14:paraId="6BC13757">
            <w:pPr>
              <w:spacing w:line="360" w:lineRule="exact"/>
              <w:jc w:val="center"/>
              <w:rPr>
                <w:rFonts w:hint="eastAsia" w:ascii="仿宋_GB2312" w:hAnsi="仿宋_GB2312" w:eastAsia="仿宋_GB2312" w:cs="仿宋_GB2312"/>
                <w:color w:val="auto"/>
                <w:sz w:val="32"/>
                <w:szCs w:val="32"/>
              </w:rPr>
            </w:pPr>
          </w:p>
        </w:tc>
        <w:tc>
          <w:tcPr>
            <w:tcW w:w="993" w:type="dxa"/>
            <w:tcBorders>
              <w:top w:val="single" w:color="000000" w:sz="4" w:space="0"/>
              <w:left w:val="nil"/>
              <w:bottom w:val="single" w:color="000000" w:sz="4" w:space="0"/>
              <w:right w:val="single" w:color="000000" w:sz="4" w:space="0"/>
            </w:tcBorders>
            <w:noWrap w:val="0"/>
            <w:vAlign w:val="top"/>
          </w:tcPr>
          <w:p w14:paraId="0BBE4E0C">
            <w:pPr>
              <w:spacing w:line="360" w:lineRule="exact"/>
              <w:jc w:val="center"/>
              <w:rPr>
                <w:rFonts w:hint="eastAsia" w:ascii="仿宋_GB2312" w:hAnsi="仿宋_GB2312" w:eastAsia="仿宋_GB2312" w:cs="仿宋_GB2312"/>
                <w:color w:val="auto"/>
                <w:sz w:val="32"/>
                <w:szCs w:val="32"/>
              </w:rPr>
            </w:pPr>
          </w:p>
        </w:tc>
      </w:tr>
      <w:tr w14:paraId="6AFC84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44" w:hRule="atLeast"/>
        </w:trPr>
        <w:tc>
          <w:tcPr>
            <w:tcW w:w="975" w:type="dxa"/>
            <w:vMerge w:val="continue"/>
            <w:tcBorders>
              <w:top w:val="nil"/>
              <w:left w:val="single" w:color="000000" w:sz="4" w:space="0"/>
              <w:bottom w:val="single" w:color="000000" w:sz="4" w:space="0"/>
              <w:right w:val="single" w:color="000000" w:sz="4" w:space="0"/>
            </w:tcBorders>
            <w:noWrap w:val="0"/>
            <w:vAlign w:val="center"/>
          </w:tcPr>
          <w:p w14:paraId="3098DB75">
            <w:pPr>
              <w:widowControl/>
              <w:jc w:val="left"/>
              <w:rPr>
                <w:rFonts w:hint="eastAsia" w:ascii="仿宋_GB2312" w:hAnsi="仿宋_GB2312" w:eastAsia="仿宋_GB2312" w:cs="仿宋_GB2312"/>
                <w:color w:val="auto"/>
                <w:sz w:val="32"/>
                <w:szCs w:val="32"/>
              </w:rPr>
            </w:pPr>
          </w:p>
        </w:tc>
        <w:tc>
          <w:tcPr>
            <w:tcW w:w="4819" w:type="dxa"/>
            <w:tcBorders>
              <w:top w:val="single" w:color="000000" w:sz="4" w:space="0"/>
              <w:left w:val="nil"/>
              <w:bottom w:val="single" w:color="000000" w:sz="4" w:space="0"/>
              <w:right w:val="single" w:color="000000" w:sz="4" w:space="0"/>
            </w:tcBorders>
            <w:noWrap w:val="0"/>
            <w:vAlign w:val="top"/>
          </w:tcPr>
          <w:p w14:paraId="14DE7554">
            <w:pPr>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3、腐败变质等不合格产品不烹制不烧煮。</w:t>
            </w:r>
          </w:p>
        </w:tc>
        <w:tc>
          <w:tcPr>
            <w:tcW w:w="1749" w:type="dxa"/>
            <w:vMerge w:val="continue"/>
            <w:tcBorders>
              <w:top w:val="nil"/>
              <w:left w:val="nil"/>
              <w:bottom w:val="single" w:color="000000" w:sz="4" w:space="0"/>
              <w:right w:val="single" w:color="000000" w:sz="4" w:space="0"/>
            </w:tcBorders>
            <w:noWrap w:val="0"/>
            <w:vAlign w:val="center"/>
          </w:tcPr>
          <w:p w14:paraId="40C5F1B8">
            <w:pPr>
              <w:widowControl/>
              <w:jc w:val="left"/>
              <w:rPr>
                <w:rFonts w:hint="eastAsia" w:ascii="仿宋_GB2312" w:hAnsi="仿宋_GB2312" w:eastAsia="仿宋_GB2312" w:cs="仿宋_GB2312"/>
                <w:color w:val="auto"/>
                <w:sz w:val="32"/>
                <w:szCs w:val="32"/>
              </w:rPr>
            </w:pPr>
          </w:p>
        </w:tc>
        <w:tc>
          <w:tcPr>
            <w:tcW w:w="1026" w:type="dxa"/>
            <w:tcBorders>
              <w:top w:val="single" w:color="000000" w:sz="4" w:space="0"/>
              <w:left w:val="nil"/>
              <w:bottom w:val="single" w:color="000000" w:sz="4" w:space="0"/>
              <w:right w:val="single" w:color="000000" w:sz="4" w:space="0"/>
            </w:tcBorders>
            <w:noWrap w:val="0"/>
            <w:vAlign w:val="top"/>
          </w:tcPr>
          <w:p w14:paraId="60795071">
            <w:pPr>
              <w:spacing w:line="360" w:lineRule="exact"/>
              <w:jc w:val="center"/>
              <w:rPr>
                <w:rFonts w:hint="eastAsia" w:ascii="仿宋_GB2312" w:hAnsi="仿宋_GB2312" w:eastAsia="仿宋_GB2312" w:cs="仿宋_GB2312"/>
                <w:color w:val="auto"/>
                <w:sz w:val="32"/>
                <w:szCs w:val="32"/>
              </w:rPr>
            </w:pPr>
          </w:p>
        </w:tc>
        <w:tc>
          <w:tcPr>
            <w:tcW w:w="993" w:type="dxa"/>
            <w:tcBorders>
              <w:top w:val="single" w:color="000000" w:sz="4" w:space="0"/>
              <w:left w:val="nil"/>
              <w:bottom w:val="single" w:color="000000" w:sz="4" w:space="0"/>
              <w:right w:val="single" w:color="000000" w:sz="4" w:space="0"/>
            </w:tcBorders>
            <w:noWrap w:val="0"/>
            <w:vAlign w:val="top"/>
          </w:tcPr>
          <w:p w14:paraId="77B73E92">
            <w:pPr>
              <w:spacing w:line="360" w:lineRule="exact"/>
              <w:jc w:val="center"/>
              <w:rPr>
                <w:rFonts w:hint="eastAsia" w:ascii="仿宋_GB2312" w:hAnsi="仿宋_GB2312" w:eastAsia="仿宋_GB2312" w:cs="仿宋_GB2312"/>
                <w:color w:val="auto"/>
                <w:sz w:val="32"/>
                <w:szCs w:val="32"/>
              </w:rPr>
            </w:pPr>
          </w:p>
        </w:tc>
      </w:tr>
      <w:tr w14:paraId="486CB83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44" w:hRule="atLeast"/>
        </w:trPr>
        <w:tc>
          <w:tcPr>
            <w:tcW w:w="975" w:type="dxa"/>
            <w:vMerge w:val="continue"/>
            <w:tcBorders>
              <w:top w:val="nil"/>
              <w:left w:val="single" w:color="000000" w:sz="4" w:space="0"/>
              <w:bottom w:val="single" w:color="000000" w:sz="4" w:space="0"/>
              <w:right w:val="single" w:color="000000" w:sz="4" w:space="0"/>
            </w:tcBorders>
            <w:noWrap w:val="0"/>
            <w:vAlign w:val="center"/>
          </w:tcPr>
          <w:p w14:paraId="3981A83B">
            <w:pPr>
              <w:widowControl/>
              <w:jc w:val="left"/>
              <w:rPr>
                <w:rFonts w:hint="eastAsia" w:ascii="仿宋_GB2312" w:hAnsi="仿宋_GB2312" w:eastAsia="仿宋_GB2312" w:cs="仿宋_GB2312"/>
                <w:color w:val="auto"/>
                <w:sz w:val="32"/>
                <w:szCs w:val="32"/>
              </w:rPr>
            </w:pPr>
          </w:p>
        </w:tc>
        <w:tc>
          <w:tcPr>
            <w:tcW w:w="4819" w:type="dxa"/>
            <w:tcBorders>
              <w:top w:val="single" w:color="000000" w:sz="4" w:space="0"/>
              <w:left w:val="nil"/>
              <w:bottom w:val="single" w:color="000000" w:sz="4" w:space="0"/>
              <w:right w:val="single" w:color="000000" w:sz="4" w:space="0"/>
            </w:tcBorders>
            <w:noWrap w:val="0"/>
            <w:vAlign w:val="top"/>
          </w:tcPr>
          <w:p w14:paraId="48392454">
            <w:pPr>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4、凉菜加工人员操作前应严格进行双手清洗消毒佩戴口罩。</w:t>
            </w:r>
          </w:p>
        </w:tc>
        <w:tc>
          <w:tcPr>
            <w:tcW w:w="1749" w:type="dxa"/>
            <w:vMerge w:val="continue"/>
            <w:tcBorders>
              <w:top w:val="nil"/>
              <w:left w:val="nil"/>
              <w:bottom w:val="single" w:color="000000" w:sz="4" w:space="0"/>
              <w:right w:val="single" w:color="000000" w:sz="4" w:space="0"/>
            </w:tcBorders>
            <w:noWrap w:val="0"/>
            <w:vAlign w:val="center"/>
          </w:tcPr>
          <w:p w14:paraId="690E9E67">
            <w:pPr>
              <w:widowControl/>
              <w:jc w:val="left"/>
              <w:rPr>
                <w:rFonts w:hint="eastAsia" w:ascii="仿宋_GB2312" w:hAnsi="仿宋_GB2312" w:eastAsia="仿宋_GB2312" w:cs="仿宋_GB2312"/>
                <w:color w:val="auto"/>
                <w:sz w:val="32"/>
                <w:szCs w:val="32"/>
              </w:rPr>
            </w:pPr>
          </w:p>
        </w:tc>
        <w:tc>
          <w:tcPr>
            <w:tcW w:w="1026" w:type="dxa"/>
            <w:tcBorders>
              <w:top w:val="single" w:color="000000" w:sz="4" w:space="0"/>
              <w:left w:val="nil"/>
              <w:bottom w:val="single" w:color="000000" w:sz="4" w:space="0"/>
              <w:right w:val="single" w:color="000000" w:sz="4" w:space="0"/>
            </w:tcBorders>
            <w:noWrap w:val="0"/>
            <w:vAlign w:val="top"/>
          </w:tcPr>
          <w:p w14:paraId="6B31BE3E">
            <w:pPr>
              <w:spacing w:line="360" w:lineRule="exact"/>
              <w:jc w:val="center"/>
              <w:rPr>
                <w:rFonts w:hint="eastAsia" w:ascii="仿宋_GB2312" w:hAnsi="仿宋_GB2312" w:eastAsia="仿宋_GB2312" w:cs="仿宋_GB2312"/>
                <w:color w:val="auto"/>
                <w:sz w:val="32"/>
                <w:szCs w:val="32"/>
              </w:rPr>
            </w:pPr>
          </w:p>
        </w:tc>
        <w:tc>
          <w:tcPr>
            <w:tcW w:w="993" w:type="dxa"/>
            <w:tcBorders>
              <w:top w:val="single" w:color="000000" w:sz="4" w:space="0"/>
              <w:left w:val="nil"/>
              <w:bottom w:val="single" w:color="000000" w:sz="4" w:space="0"/>
              <w:right w:val="single" w:color="000000" w:sz="4" w:space="0"/>
            </w:tcBorders>
            <w:noWrap w:val="0"/>
            <w:vAlign w:val="top"/>
          </w:tcPr>
          <w:p w14:paraId="7F345692">
            <w:pPr>
              <w:spacing w:line="360" w:lineRule="exact"/>
              <w:jc w:val="center"/>
              <w:rPr>
                <w:rFonts w:hint="eastAsia" w:ascii="仿宋_GB2312" w:hAnsi="仿宋_GB2312" w:eastAsia="仿宋_GB2312" w:cs="仿宋_GB2312"/>
                <w:color w:val="auto"/>
                <w:sz w:val="32"/>
                <w:szCs w:val="32"/>
              </w:rPr>
            </w:pPr>
          </w:p>
        </w:tc>
      </w:tr>
      <w:tr w14:paraId="7201FB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44" w:hRule="atLeast"/>
        </w:trPr>
        <w:tc>
          <w:tcPr>
            <w:tcW w:w="975" w:type="dxa"/>
            <w:vMerge w:val="continue"/>
            <w:tcBorders>
              <w:top w:val="nil"/>
              <w:left w:val="single" w:color="000000" w:sz="4" w:space="0"/>
              <w:bottom w:val="single" w:color="000000" w:sz="4" w:space="0"/>
              <w:right w:val="single" w:color="000000" w:sz="4" w:space="0"/>
            </w:tcBorders>
            <w:noWrap w:val="0"/>
            <w:vAlign w:val="center"/>
          </w:tcPr>
          <w:p w14:paraId="0F28445A">
            <w:pPr>
              <w:widowControl/>
              <w:jc w:val="left"/>
              <w:rPr>
                <w:rFonts w:hint="eastAsia" w:ascii="仿宋_GB2312" w:hAnsi="仿宋_GB2312" w:eastAsia="仿宋_GB2312" w:cs="仿宋_GB2312"/>
                <w:color w:val="auto"/>
                <w:sz w:val="32"/>
                <w:szCs w:val="32"/>
              </w:rPr>
            </w:pPr>
          </w:p>
        </w:tc>
        <w:tc>
          <w:tcPr>
            <w:tcW w:w="4819" w:type="dxa"/>
            <w:tcBorders>
              <w:top w:val="single" w:color="000000" w:sz="4" w:space="0"/>
              <w:left w:val="nil"/>
              <w:bottom w:val="single" w:color="000000" w:sz="4" w:space="0"/>
              <w:right w:val="single" w:color="000000" w:sz="4" w:space="0"/>
            </w:tcBorders>
            <w:noWrap w:val="0"/>
            <w:vAlign w:val="top"/>
          </w:tcPr>
          <w:p w14:paraId="4FE7E270">
            <w:pPr>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5、面点加工前认真检查各种食品原料与调味料，发现米、面、油、豆、馅、肉类等原料有生虫、霉变、有异味、污秽不洁、腐败变质及其他感官性状异常的，不得进行加工。</w:t>
            </w:r>
          </w:p>
        </w:tc>
        <w:tc>
          <w:tcPr>
            <w:tcW w:w="1749" w:type="dxa"/>
            <w:vMerge w:val="continue"/>
            <w:tcBorders>
              <w:top w:val="nil"/>
              <w:left w:val="nil"/>
              <w:bottom w:val="single" w:color="000000" w:sz="4" w:space="0"/>
              <w:right w:val="single" w:color="000000" w:sz="4" w:space="0"/>
            </w:tcBorders>
            <w:noWrap w:val="0"/>
            <w:vAlign w:val="center"/>
          </w:tcPr>
          <w:p w14:paraId="0E5819E0">
            <w:pPr>
              <w:widowControl/>
              <w:jc w:val="left"/>
              <w:rPr>
                <w:rFonts w:hint="eastAsia" w:ascii="仿宋_GB2312" w:hAnsi="仿宋_GB2312" w:eastAsia="仿宋_GB2312" w:cs="仿宋_GB2312"/>
                <w:color w:val="auto"/>
                <w:sz w:val="32"/>
                <w:szCs w:val="32"/>
              </w:rPr>
            </w:pPr>
          </w:p>
        </w:tc>
        <w:tc>
          <w:tcPr>
            <w:tcW w:w="1026" w:type="dxa"/>
            <w:tcBorders>
              <w:top w:val="single" w:color="000000" w:sz="4" w:space="0"/>
              <w:left w:val="nil"/>
              <w:bottom w:val="single" w:color="000000" w:sz="4" w:space="0"/>
              <w:right w:val="single" w:color="000000" w:sz="4" w:space="0"/>
            </w:tcBorders>
            <w:noWrap w:val="0"/>
            <w:vAlign w:val="top"/>
          </w:tcPr>
          <w:p w14:paraId="1165F8FD">
            <w:pPr>
              <w:spacing w:line="360" w:lineRule="exact"/>
              <w:jc w:val="center"/>
              <w:rPr>
                <w:rFonts w:hint="eastAsia" w:ascii="仿宋_GB2312" w:hAnsi="仿宋_GB2312" w:eastAsia="仿宋_GB2312" w:cs="仿宋_GB2312"/>
                <w:color w:val="auto"/>
                <w:sz w:val="32"/>
                <w:szCs w:val="32"/>
              </w:rPr>
            </w:pPr>
          </w:p>
        </w:tc>
        <w:tc>
          <w:tcPr>
            <w:tcW w:w="993" w:type="dxa"/>
            <w:tcBorders>
              <w:top w:val="single" w:color="000000" w:sz="4" w:space="0"/>
              <w:left w:val="nil"/>
              <w:bottom w:val="single" w:color="000000" w:sz="4" w:space="0"/>
              <w:right w:val="single" w:color="000000" w:sz="4" w:space="0"/>
            </w:tcBorders>
            <w:noWrap w:val="0"/>
            <w:vAlign w:val="top"/>
          </w:tcPr>
          <w:p w14:paraId="445CBDB7">
            <w:pPr>
              <w:spacing w:line="360" w:lineRule="exact"/>
              <w:jc w:val="center"/>
              <w:rPr>
                <w:rFonts w:hint="eastAsia" w:ascii="仿宋_GB2312" w:hAnsi="仿宋_GB2312" w:eastAsia="仿宋_GB2312" w:cs="仿宋_GB2312"/>
                <w:color w:val="auto"/>
                <w:sz w:val="32"/>
                <w:szCs w:val="32"/>
              </w:rPr>
            </w:pPr>
          </w:p>
        </w:tc>
      </w:tr>
      <w:tr w14:paraId="085029A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44" w:hRule="atLeast"/>
        </w:trPr>
        <w:tc>
          <w:tcPr>
            <w:tcW w:w="975" w:type="dxa"/>
            <w:vMerge w:val="continue"/>
            <w:tcBorders>
              <w:top w:val="nil"/>
              <w:left w:val="single" w:color="000000" w:sz="4" w:space="0"/>
              <w:bottom w:val="single" w:color="000000" w:sz="4" w:space="0"/>
              <w:right w:val="single" w:color="000000" w:sz="4" w:space="0"/>
            </w:tcBorders>
            <w:noWrap w:val="0"/>
            <w:vAlign w:val="center"/>
          </w:tcPr>
          <w:p w14:paraId="7BAAD646">
            <w:pPr>
              <w:widowControl/>
              <w:jc w:val="left"/>
              <w:rPr>
                <w:rFonts w:hint="eastAsia" w:ascii="仿宋_GB2312" w:hAnsi="仿宋_GB2312" w:eastAsia="仿宋_GB2312" w:cs="仿宋_GB2312"/>
                <w:color w:val="auto"/>
                <w:sz w:val="32"/>
                <w:szCs w:val="32"/>
              </w:rPr>
            </w:pPr>
          </w:p>
        </w:tc>
        <w:tc>
          <w:tcPr>
            <w:tcW w:w="4819" w:type="dxa"/>
            <w:tcBorders>
              <w:top w:val="single" w:color="000000" w:sz="4" w:space="0"/>
              <w:left w:val="nil"/>
              <w:bottom w:val="single" w:color="000000" w:sz="4" w:space="0"/>
              <w:right w:val="single" w:color="000000" w:sz="4" w:space="0"/>
            </w:tcBorders>
            <w:noWrap w:val="0"/>
            <w:vAlign w:val="top"/>
          </w:tcPr>
          <w:p w14:paraId="6FF9B161">
            <w:pPr>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6、面点加工设备、工具、容器应保持干净清洁定期消毒。</w:t>
            </w:r>
          </w:p>
        </w:tc>
        <w:tc>
          <w:tcPr>
            <w:tcW w:w="1749" w:type="dxa"/>
            <w:vMerge w:val="continue"/>
            <w:tcBorders>
              <w:top w:val="nil"/>
              <w:left w:val="nil"/>
              <w:bottom w:val="single" w:color="000000" w:sz="4" w:space="0"/>
              <w:right w:val="single" w:color="000000" w:sz="4" w:space="0"/>
            </w:tcBorders>
            <w:noWrap w:val="0"/>
            <w:vAlign w:val="center"/>
          </w:tcPr>
          <w:p w14:paraId="60DE1769">
            <w:pPr>
              <w:widowControl/>
              <w:jc w:val="left"/>
              <w:rPr>
                <w:rFonts w:hint="eastAsia" w:ascii="仿宋_GB2312" w:hAnsi="仿宋_GB2312" w:eastAsia="仿宋_GB2312" w:cs="仿宋_GB2312"/>
                <w:color w:val="auto"/>
                <w:sz w:val="32"/>
                <w:szCs w:val="32"/>
              </w:rPr>
            </w:pPr>
          </w:p>
        </w:tc>
        <w:tc>
          <w:tcPr>
            <w:tcW w:w="1026" w:type="dxa"/>
            <w:tcBorders>
              <w:top w:val="single" w:color="000000" w:sz="4" w:space="0"/>
              <w:left w:val="nil"/>
              <w:bottom w:val="single" w:color="000000" w:sz="4" w:space="0"/>
              <w:right w:val="single" w:color="000000" w:sz="4" w:space="0"/>
            </w:tcBorders>
            <w:noWrap w:val="0"/>
            <w:vAlign w:val="top"/>
          </w:tcPr>
          <w:p w14:paraId="0E1D1ACF">
            <w:pPr>
              <w:spacing w:line="360" w:lineRule="exact"/>
              <w:jc w:val="center"/>
              <w:rPr>
                <w:rFonts w:hint="eastAsia" w:ascii="仿宋_GB2312" w:hAnsi="仿宋_GB2312" w:eastAsia="仿宋_GB2312" w:cs="仿宋_GB2312"/>
                <w:color w:val="auto"/>
                <w:sz w:val="32"/>
                <w:szCs w:val="32"/>
              </w:rPr>
            </w:pPr>
          </w:p>
        </w:tc>
        <w:tc>
          <w:tcPr>
            <w:tcW w:w="993" w:type="dxa"/>
            <w:tcBorders>
              <w:top w:val="single" w:color="000000" w:sz="4" w:space="0"/>
              <w:left w:val="nil"/>
              <w:bottom w:val="single" w:color="000000" w:sz="4" w:space="0"/>
              <w:right w:val="single" w:color="000000" w:sz="4" w:space="0"/>
            </w:tcBorders>
            <w:noWrap w:val="0"/>
            <w:vAlign w:val="top"/>
          </w:tcPr>
          <w:p w14:paraId="742A8ADD">
            <w:pPr>
              <w:spacing w:line="360" w:lineRule="exact"/>
              <w:jc w:val="center"/>
              <w:rPr>
                <w:rFonts w:hint="eastAsia" w:ascii="仿宋_GB2312" w:hAnsi="仿宋_GB2312" w:eastAsia="仿宋_GB2312" w:cs="仿宋_GB2312"/>
                <w:color w:val="auto"/>
                <w:sz w:val="32"/>
                <w:szCs w:val="32"/>
              </w:rPr>
            </w:pPr>
          </w:p>
        </w:tc>
      </w:tr>
      <w:tr w14:paraId="5BFC3B6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44" w:hRule="atLeast"/>
        </w:trPr>
        <w:tc>
          <w:tcPr>
            <w:tcW w:w="975" w:type="dxa"/>
            <w:vMerge w:val="continue"/>
            <w:tcBorders>
              <w:top w:val="nil"/>
              <w:left w:val="single" w:color="000000" w:sz="4" w:space="0"/>
              <w:bottom w:val="single" w:color="000000" w:sz="4" w:space="0"/>
              <w:right w:val="single" w:color="000000" w:sz="4" w:space="0"/>
            </w:tcBorders>
            <w:noWrap w:val="0"/>
            <w:vAlign w:val="center"/>
          </w:tcPr>
          <w:p w14:paraId="634EA699">
            <w:pPr>
              <w:widowControl/>
              <w:jc w:val="left"/>
              <w:rPr>
                <w:rFonts w:hint="eastAsia" w:ascii="仿宋_GB2312" w:hAnsi="仿宋_GB2312" w:eastAsia="仿宋_GB2312" w:cs="仿宋_GB2312"/>
                <w:color w:val="auto"/>
                <w:sz w:val="32"/>
                <w:szCs w:val="32"/>
              </w:rPr>
            </w:pPr>
          </w:p>
        </w:tc>
        <w:tc>
          <w:tcPr>
            <w:tcW w:w="4819" w:type="dxa"/>
            <w:tcBorders>
              <w:top w:val="single" w:color="000000" w:sz="4" w:space="0"/>
              <w:left w:val="nil"/>
              <w:bottom w:val="single" w:color="000000" w:sz="4" w:space="0"/>
              <w:right w:val="single" w:color="000000" w:sz="4" w:space="0"/>
            </w:tcBorders>
            <w:noWrap w:val="0"/>
            <w:vAlign w:val="top"/>
          </w:tcPr>
          <w:p w14:paraId="12C7EED9">
            <w:pPr>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7、蔬菜与肉类、水产品分开清洗。</w:t>
            </w:r>
          </w:p>
        </w:tc>
        <w:tc>
          <w:tcPr>
            <w:tcW w:w="1749" w:type="dxa"/>
            <w:vMerge w:val="continue"/>
            <w:tcBorders>
              <w:top w:val="nil"/>
              <w:left w:val="nil"/>
              <w:bottom w:val="single" w:color="000000" w:sz="4" w:space="0"/>
              <w:right w:val="single" w:color="000000" w:sz="4" w:space="0"/>
            </w:tcBorders>
            <w:noWrap w:val="0"/>
            <w:vAlign w:val="center"/>
          </w:tcPr>
          <w:p w14:paraId="20E176D3">
            <w:pPr>
              <w:widowControl/>
              <w:jc w:val="left"/>
              <w:rPr>
                <w:rFonts w:hint="eastAsia" w:ascii="仿宋_GB2312" w:hAnsi="仿宋_GB2312" w:eastAsia="仿宋_GB2312" w:cs="仿宋_GB2312"/>
                <w:color w:val="auto"/>
                <w:sz w:val="32"/>
                <w:szCs w:val="32"/>
              </w:rPr>
            </w:pPr>
          </w:p>
        </w:tc>
        <w:tc>
          <w:tcPr>
            <w:tcW w:w="1026" w:type="dxa"/>
            <w:tcBorders>
              <w:top w:val="single" w:color="000000" w:sz="4" w:space="0"/>
              <w:left w:val="nil"/>
              <w:bottom w:val="single" w:color="000000" w:sz="4" w:space="0"/>
              <w:right w:val="single" w:color="000000" w:sz="4" w:space="0"/>
            </w:tcBorders>
            <w:noWrap w:val="0"/>
            <w:vAlign w:val="top"/>
          </w:tcPr>
          <w:p w14:paraId="27E3BB8C">
            <w:pPr>
              <w:spacing w:line="360" w:lineRule="exact"/>
              <w:jc w:val="center"/>
              <w:rPr>
                <w:rFonts w:hint="eastAsia" w:ascii="仿宋_GB2312" w:hAnsi="仿宋_GB2312" w:eastAsia="仿宋_GB2312" w:cs="仿宋_GB2312"/>
                <w:color w:val="auto"/>
                <w:sz w:val="32"/>
                <w:szCs w:val="32"/>
              </w:rPr>
            </w:pPr>
          </w:p>
        </w:tc>
        <w:tc>
          <w:tcPr>
            <w:tcW w:w="993" w:type="dxa"/>
            <w:tcBorders>
              <w:top w:val="single" w:color="000000" w:sz="4" w:space="0"/>
              <w:left w:val="nil"/>
              <w:bottom w:val="single" w:color="000000" w:sz="4" w:space="0"/>
              <w:right w:val="single" w:color="000000" w:sz="4" w:space="0"/>
            </w:tcBorders>
            <w:noWrap w:val="0"/>
            <w:vAlign w:val="top"/>
          </w:tcPr>
          <w:p w14:paraId="23D4DAEC">
            <w:pPr>
              <w:spacing w:line="360" w:lineRule="exact"/>
              <w:jc w:val="center"/>
              <w:rPr>
                <w:rFonts w:hint="eastAsia" w:ascii="仿宋_GB2312" w:hAnsi="仿宋_GB2312" w:eastAsia="仿宋_GB2312" w:cs="仿宋_GB2312"/>
                <w:color w:val="auto"/>
                <w:sz w:val="32"/>
                <w:szCs w:val="32"/>
              </w:rPr>
            </w:pPr>
          </w:p>
        </w:tc>
      </w:tr>
      <w:tr w14:paraId="4FB8B0A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44" w:hRule="atLeast"/>
        </w:trPr>
        <w:tc>
          <w:tcPr>
            <w:tcW w:w="975" w:type="dxa"/>
            <w:vMerge w:val="continue"/>
            <w:tcBorders>
              <w:top w:val="nil"/>
              <w:left w:val="single" w:color="000000" w:sz="4" w:space="0"/>
              <w:bottom w:val="single" w:color="000000" w:sz="4" w:space="0"/>
              <w:right w:val="single" w:color="000000" w:sz="4" w:space="0"/>
            </w:tcBorders>
            <w:noWrap w:val="0"/>
            <w:vAlign w:val="center"/>
          </w:tcPr>
          <w:p w14:paraId="59423EDA">
            <w:pPr>
              <w:widowControl/>
              <w:jc w:val="left"/>
              <w:rPr>
                <w:rFonts w:hint="eastAsia" w:ascii="仿宋_GB2312" w:hAnsi="仿宋_GB2312" w:eastAsia="仿宋_GB2312" w:cs="仿宋_GB2312"/>
                <w:color w:val="auto"/>
                <w:sz w:val="32"/>
                <w:szCs w:val="32"/>
              </w:rPr>
            </w:pPr>
          </w:p>
        </w:tc>
        <w:tc>
          <w:tcPr>
            <w:tcW w:w="4819" w:type="dxa"/>
            <w:tcBorders>
              <w:top w:val="single" w:color="000000" w:sz="4" w:space="0"/>
              <w:left w:val="nil"/>
              <w:bottom w:val="single" w:color="000000" w:sz="4" w:space="0"/>
              <w:right w:val="single" w:color="000000" w:sz="4" w:space="0"/>
            </w:tcBorders>
            <w:noWrap w:val="0"/>
            <w:vAlign w:val="top"/>
          </w:tcPr>
          <w:p w14:paraId="79B5337F">
            <w:pPr>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8、半成品调料保管得当，成品调料保证在有效期内使用。</w:t>
            </w:r>
          </w:p>
        </w:tc>
        <w:tc>
          <w:tcPr>
            <w:tcW w:w="1749" w:type="dxa"/>
            <w:vMerge w:val="continue"/>
            <w:tcBorders>
              <w:top w:val="nil"/>
              <w:left w:val="nil"/>
              <w:bottom w:val="single" w:color="000000" w:sz="4" w:space="0"/>
              <w:right w:val="single" w:color="000000" w:sz="4" w:space="0"/>
            </w:tcBorders>
            <w:noWrap w:val="0"/>
            <w:vAlign w:val="center"/>
          </w:tcPr>
          <w:p w14:paraId="3AC41C9A">
            <w:pPr>
              <w:widowControl/>
              <w:jc w:val="left"/>
              <w:rPr>
                <w:rFonts w:hint="eastAsia" w:ascii="仿宋_GB2312" w:hAnsi="仿宋_GB2312" w:eastAsia="仿宋_GB2312" w:cs="仿宋_GB2312"/>
                <w:color w:val="auto"/>
                <w:sz w:val="32"/>
                <w:szCs w:val="32"/>
              </w:rPr>
            </w:pPr>
          </w:p>
        </w:tc>
        <w:tc>
          <w:tcPr>
            <w:tcW w:w="1026" w:type="dxa"/>
            <w:tcBorders>
              <w:top w:val="single" w:color="000000" w:sz="4" w:space="0"/>
              <w:left w:val="nil"/>
              <w:bottom w:val="single" w:color="000000" w:sz="4" w:space="0"/>
              <w:right w:val="single" w:color="000000" w:sz="4" w:space="0"/>
            </w:tcBorders>
            <w:noWrap w:val="0"/>
            <w:vAlign w:val="top"/>
          </w:tcPr>
          <w:p w14:paraId="36F486C1">
            <w:pPr>
              <w:spacing w:line="360" w:lineRule="exact"/>
              <w:jc w:val="center"/>
              <w:rPr>
                <w:rFonts w:hint="eastAsia" w:ascii="仿宋_GB2312" w:hAnsi="仿宋_GB2312" w:eastAsia="仿宋_GB2312" w:cs="仿宋_GB2312"/>
                <w:color w:val="auto"/>
                <w:sz w:val="32"/>
                <w:szCs w:val="32"/>
              </w:rPr>
            </w:pPr>
          </w:p>
        </w:tc>
        <w:tc>
          <w:tcPr>
            <w:tcW w:w="993" w:type="dxa"/>
            <w:tcBorders>
              <w:top w:val="single" w:color="000000" w:sz="4" w:space="0"/>
              <w:left w:val="nil"/>
              <w:bottom w:val="single" w:color="000000" w:sz="4" w:space="0"/>
              <w:right w:val="single" w:color="000000" w:sz="4" w:space="0"/>
            </w:tcBorders>
            <w:noWrap w:val="0"/>
            <w:vAlign w:val="top"/>
          </w:tcPr>
          <w:p w14:paraId="15131633">
            <w:pPr>
              <w:spacing w:line="360" w:lineRule="exact"/>
              <w:jc w:val="center"/>
              <w:rPr>
                <w:rFonts w:hint="eastAsia" w:ascii="仿宋_GB2312" w:hAnsi="仿宋_GB2312" w:eastAsia="仿宋_GB2312" w:cs="仿宋_GB2312"/>
                <w:color w:val="auto"/>
                <w:sz w:val="32"/>
                <w:szCs w:val="32"/>
              </w:rPr>
            </w:pPr>
          </w:p>
        </w:tc>
      </w:tr>
      <w:tr w14:paraId="40A4E9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44" w:hRule="atLeast"/>
        </w:trPr>
        <w:tc>
          <w:tcPr>
            <w:tcW w:w="975" w:type="dxa"/>
            <w:vMerge w:val="continue"/>
            <w:tcBorders>
              <w:top w:val="nil"/>
              <w:left w:val="single" w:color="000000" w:sz="4" w:space="0"/>
              <w:bottom w:val="single" w:color="000000" w:sz="4" w:space="0"/>
              <w:right w:val="single" w:color="000000" w:sz="4" w:space="0"/>
            </w:tcBorders>
            <w:noWrap w:val="0"/>
            <w:vAlign w:val="center"/>
          </w:tcPr>
          <w:p w14:paraId="4166BFDB">
            <w:pPr>
              <w:widowControl/>
              <w:jc w:val="left"/>
              <w:rPr>
                <w:rFonts w:hint="eastAsia" w:ascii="仿宋_GB2312" w:hAnsi="仿宋_GB2312" w:eastAsia="仿宋_GB2312" w:cs="仿宋_GB2312"/>
                <w:color w:val="auto"/>
                <w:sz w:val="32"/>
                <w:szCs w:val="32"/>
              </w:rPr>
            </w:pPr>
          </w:p>
        </w:tc>
        <w:tc>
          <w:tcPr>
            <w:tcW w:w="4819" w:type="dxa"/>
            <w:tcBorders>
              <w:top w:val="single" w:color="000000" w:sz="4" w:space="0"/>
              <w:left w:val="nil"/>
              <w:bottom w:val="single" w:color="000000" w:sz="4" w:space="0"/>
              <w:right w:val="single" w:color="000000" w:sz="4" w:space="0"/>
            </w:tcBorders>
            <w:noWrap w:val="0"/>
            <w:vAlign w:val="top"/>
          </w:tcPr>
          <w:p w14:paraId="74D90614">
            <w:pPr>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9、烹饪加工品质控制有指定的专业责任人。</w:t>
            </w:r>
          </w:p>
        </w:tc>
        <w:tc>
          <w:tcPr>
            <w:tcW w:w="1749" w:type="dxa"/>
            <w:vMerge w:val="continue"/>
            <w:tcBorders>
              <w:top w:val="nil"/>
              <w:left w:val="nil"/>
              <w:bottom w:val="single" w:color="000000" w:sz="4" w:space="0"/>
              <w:right w:val="single" w:color="000000" w:sz="4" w:space="0"/>
            </w:tcBorders>
            <w:noWrap w:val="0"/>
            <w:vAlign w:val="center"/>
          </w:tcPr>
          <w:p w14:paraId="64949317">
            <w:pPr>
              <w:widowControl/>
              <w:jc w:val="left"/>
              <w:rPr>
                <w:rFonts w:hint="eastAsia" w:ascii="仿宋_GB2312" w:hAnsi="仿宋_GB2312" w:eastAsia="仿宋_GB2312" w:cs="仿宋_GB2312"/>
                <w:color w:val="auto"/>
                <w:sz w:val="32"/>
                <w:szCs w:val="32"/>
              </w:rPr>
            </w:pPr>
          </w:p>
        </w:tc>
        <w:tc>
          <w:tcPr>
            <w:tcW w:w="1026" w:type="dxa"/>
            <w:tcBorders>
              <w:top w:val="single" w:color="000000" w:sz="4" w:space="0"/>
              <w:left w:val="nil"/>
              <w:bottom w:val="single" w:color="000000" w:sz="4" w:space="0"/>
              <w:right w:val="single" w:color="000000" w:sz="4" w:space="0"/>
            </w:tcBorders>
            <w:noWrap w:val="0"/>
            <w:vAlign w:val="top"/>
          </w:tcPr>
          <w:p w14:paraId="2E73572D">
            <w:pPr>
              <w:spacing w:line="360" w:lineRule="exact"/>
              <w:jc w:val="center"/>
              <w:rPr>
                <w:rFonts w:hint="eastAsia" w:ascii="仿宋_GB2312" w:hAnsi="仿宋_GB2312" w:eastAsia="仿宋_GB2312" w:cs="仿宋_GB2312"/>
                <w:color w:val="auto"/>
                <w:sz w:val="32"/>
                <w:szCs w:val="32"/>
              </w:rPr>
            </w:pPr>
          </w:p>
        </w:tc>
        <w:tc>
          <w:tcPr>
            <w:tcW w:w="993" w:type="dxa"/>
            <w:tcBorders>
              <w:top w:val="single" w:color="000000" w:sz="4" w:space="0"/>
              <w:left w:val="nil"/>
              <w:bottom w:val="single" w:color="000000" w:sz="4" w:space="0"/>
              <w:right w:val="single" w:color="000000" w:sz="4" w:space="0"/>
            </w:tcBorders>
            <w:noWrap w:val="0"/>
            <w:vAlign w:val="top"/>
          </w:tcPr>
          <w:p w14:paraId="02BB68BC">
            <w:pPr>
              <w:spacing w:line="360" w:lineRule="exact"/>
              <w:jc w:val="center"/>
              <w:rPr>
                <w:rFonts w:hint="eastAsia" w:ascii="仿宋_GB2312" w:hAnsi="仿宋_GB2312" w:eastAsia="仿宋_GB2312" w:cs="仿宋_GB2312"/>
                <w:color w:val="auto"/>
                <w:sz w:val="32"/>
                <w:szCs w:val="32"/>
              </w:rPr>
            </w:pPr>
          </w:p>
        </w:tc>
      </w:tr>
      <w:tr w14:paraId="72D35E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44" w:hRule="atLeast"/>
        </w:trPr>
        <w:tc>
          <w:tcPr>
            <w:tcW w:w="975" w:type="dxa"/>
            <w:vMerge w:val="continue"/>
            <w:tcBorders>
              <w:top w:val="nil"/>
              <w:left w:val="single" w:color="000000" w:sz="4" w:space="0"/>
              <w:bottom w:val="single" w:color="000000" w:sz="4" w:space="0"/>
              <w:right w:val="single" w:color="000000" w:sz="4" w:space="0"/>
            </w:tcBorders>
            <w:noWrap w:val="0"/>
            <w:vAlign w:val="center"/>
          </w:tcPr>
          <w:p w14:paraId="338C2D12">
            <w:pPr>
              <w:widowControl/>
              <w:jc w:val="left"/>
              <w:rPr>
                <w:rFonts w:hint="eastAsia" w:ascii="仿宋_GB2312" w:hAnsi="仿宋_GB2312" w:eastAsia="仿宋_GB2312" w:cs="仿宋_GB2312"/>
                <w:color w:val="auto"/>
                <w:sz w:val="32"/>
                <w:szCs w:val="32"/>
              </w:rPr>
            </w:pPr>
          </w:p>
        </w:tc>
        <w:tc>
          <w:tcPr>
            <w:tcW w:w="4819" w:type="dxa"/>
            <w:tcBorders>
              <w:top w:val="single" w:color="000000" w:sz="4" w:space="0"/>
              <w:left w:val="nil"/>
              <w:bottom w:val="single" w:color="000000" w:sz="4" w:space="0"/>
              <w:right w:val="single" w:color="000000" w:sz="4" w:space="0"/>
            </w:tcBorders>
            <w:noWrap w:val="0"/>
            <w:vAlign w:val="top"/>
          </w:tcPr>
          <w:p w14:paraId="6980CB3C">
            <w:pPr>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10、食品分类存放进出食品有记录，先进先出先用，腐败或不新鲜的食品不得放入冰箱保存，已解冻的食品不宜再冷冻。</w:t>
            </w:r>
          </w:p>
        </w:tc>
        <w:tc>
          <w:tcPr>
            <w:tcW w:w="1749" w:type="dxa"/>
            <w:vMerge w:val="continue"/>
            <w:tcBorders>
              <w:top w:val="nil"/>
              <w:left w:val="nil"/>
              <w:bottom w:val="single" w:color="000000" w:sz="4" w:space="0"/>
              <w:right w:val="single" w:color="000000" w:sz="4" w:space="0"/>
            </w:tcBorders>
            <w:noWrap w:val="0"/>
            <w:vAlign w:val="center"/>
          </w:tcPr>
          <w:p w14:paraId="330FAE3C">
            <w:pPr>
              <w:widowControl/>
              <w:jc w:val="left"/>
              <w:rPr>
                <w:rFonts w:hint="eastAsia" w:ascii="仿宋_GB2312" w:hAnsi="仿宋_GB2312" w:eastAsia="仿宋_GB2312" w:cs="仿宋_GB2312"/>
                <w:color w:val="auto"/>
                <w:sz w:val="32"/>
                <w:szCs w:val="32"/>
              </w:rPr>
            </w:pPr>
          </w:p>
        </w:tc>
        <w:tc>
          <w:tcPr>
            <w:tcW w:w="1026" w:type="dxa"/>
            <w:tcBorders>
              <w:top w:val="single" w:color="000000" w:sz="4" w:space="0"/>
              <w:left w:val="nil"/>
              <w:bottom w:val="single" w:color="000000" w:sz="4" w:space="0"/>
              <w:right w:val="single" w:color="000000" w:sz="4" w:space="0"/>
            </w:tcBorders>
            <w:noWrap w:val="0"/>
            <w:vAlign w:val="top"/>
          </w:tcPr>
          <w:p w14:paraId="23A5F547">
            <w:pPr>
              <w:spacing w:line="360" w:lineRule="exact"/>
              <w:jc w:val="center"/>
              <w:rPr>
                <w:rFonts w:hint="eastAsia" w:ascii="仿宋_GB2312" w:hAnsi="仿宋_GB2312" w:eastAsia="仿宋_GB2312" w:cs="仿宋_GB2312"/>
                <w:color w:val="auto"/>
                <w:sz w:val="32"/>
                <w:szCs w:val="32"/>
              </w:rPr>
            </w:pPr>
          </w:p>
        </w:tc>
        <w:tc>
          <w:tcPr>
            <w:tcW w:w="993" w:type="dxa"/>
            <w:tcBorders>
              <w:top w:val="single" w:color="000000" w:sz="4" w:space="0"/>
              <w:left w:val="nil"/>
              <w:bottom w:val="single" w:color="000000" w:sz="4" w:space="0"/>
              <w:right w:val="single" w:color="000000" w:sz="4" w:space="0"/>
            </w:tcBorders>
            <w:noWrap w:val="0"/>
            <w:vAlign w:val="top"/>
          </w:tcPr>
          <w:p w14:paraId="1BBA1A8E">
            <w:pPr>
              <w:spacing w:line="360" w:lineRule="exact"/>
              <w:jc w:val="center"/>
              <w:rPr>
                <w:rFonts w:hint="eastAsia" w:ascii="仿宋_GB2312" w:hAnsi="仿宋_GB2312" w:eastAsia="仿宋_GB2312" w:cs="仿宋_GB2312"/>
                <w:color w:val="auto"/>
                <w:sz w:val="32"/>
                <w:szCs w:val="32"/>
              </w:rPr>
            </w:pPr>
          </w:p>
        </w:tc>
      </w:tr>
      <w:tr w14:paraId="2A6BDC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44" w:hRule="atLeast"/>
        </w:trPr>
        <w:tc>
          <w:tcPr>
            <w:tcW w:w="975" w:type="dxa"/>
            <w:vMerge w:val="restart"/>
            <w:tcBorders>
              <w:top w:val="nil"/>
              <w:left w:val="single" w:color="000000" w:sz="4" w:space="0"/>
              <w:bottom w:val="single" w:color="000000" w:sz="4" w:space="0"/>
              <w:right w:val="single" w:color="000000" w:sz="4" w:space="0"/>
            </w:tcBorders>
            <w:noWrap w:val="0"/>
            <w:vAlign w:val="center"/>
          </w:tcPr>
          <w:p w14:paraId="2D9E153E">
            <w:pPr>
              <w:spacing w:line="360" w:lineRule="exact"/>
              <w:jc w:val="center"/>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品质口味</w:t>
            </w:r>
          </w:p>
        </w:tc>
        <w:tc>
          <w:tcPr>
            <w:tcW w:w="4819" w:type="dxa"/>
            <w:tcBorders>
              <w:top w:val="single" w:color="000000" w:sz="4" w:space="0"/>
              <w:left w:val="nil"/>
              <w:bottom w:val="single" w:color="000000" w:sz="4" w:space="0"/>
              <w:right w:val="single" w:color="000000" w:sz="4" w:space="0"/>
            </w:tcBorders>
            <w:noWrap w:val="0"/>
            <w:vAlign w:val="top"/>
          </w:tcPr>
          <w:p w14:paraId="0D03ED52">
            <w:pPr>
              <w:spacing w:line="360" w:lineRule="exact"/>
              <w:jc w:val="left"/>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1、早餐、午餐、晚餐、宵夜每个时段的供餐品种不得少于合同</w:t>
            </w:r>
            <w:r>
              <w:rPr>
                <w:rFonts w:hint="eastAsia" w:ascii="仿宋_GB2312" w:hAnsi="仿宋_GB2312" w:eastAsia="仿宋_GB2312" w:cs="仿宋_GB2312"/>
                <w:color w:val="auto"/>
                <w:sz w:val="32"/>
                <w:szCs w:val="32"/>
                <w:lang w:eastAsia="zh-CN"/>
              </w:rPr>
              <w:t>约</w:t>
            </w:r>
            <w:r>
              <w:rPr>
                <w:rFonts w:hint="eastAsia" w:ascii="仿宋_GB2312" w:hAnsi="仿宋_GB2312" w:eastAsia="仿宋_GB2312" w:cs="仿宋_GB2312"/>
                <w:color w:val="auto"/>
                <w:sz w:val="32"/>
                <w:szCs w:val="32"/>
              </w:rPr>
              <w:t>定数量</w:t>
            </w:r>
          </w:p>
        </w:tc>
        <w:tc>
          <w:tcPr>
            <w:tcW w:w="1749" w:type="dxa"/>
            <w:vMerge w:val="restart"/>
            <w:tcBorders>
              <w:top w:val="nil"/>
              <w:left w:val="nil"/>
              <w:bottom w:val="single" w:color="000000" w:sz="4" w:space="0"/>
              <w:right w:val="single" w:color="000000" w:sz="4" w:space="0"/>
            </w:tcBorders>
            <w:noWrap w:val="0"/>
            <w:vAlign w:val="center"/>
          </w:tcPr>
          <w:p w14:paraId="7E538795">
            <w:pPr>
              <w:spacing w:line="360" w:lineRule="exact"/>
              <w:jc w:val="center"/>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每有1项未做到扣2分</w:t>
            </w:r>
          </w:p>
        </w:tc>
        <w:tc>
          <w:tcPr>
            <w:tcW w:w="1026" w:type="dxa"/>
            <w:tcBorders>
              <w:top w:val="single" w:color="000000" w:sz="4" w:space="0"/>
              <w:left w:val="nil"/>
              <w:bottom w:val="single" w:color="000000" w:sz="4" w:space="0"/>
              <w:right w:val="single" w:color="000000" w:sz="4" w:space="0"/>
            </w:tcBorders>
            <w:noWrap w:val="0"/>
            <w:vAlign w:val="top"/>
          </w:tcPr>
          <w:p w14:paraId="10762297">
            <w:pPr>
              <w:spacing w:line="360" w:lineRule="exact"/>
              <w:jc w:val="center"/>
              <w:rPr>
                <w:rFonts w:hint="eastAsia" w:ascii="仿宋_GB2312" w:hAnsi="仿宋_GB2312" w:eastAsia="仿宋_GB2312" w:cs="仿宋_GB2312"/>
                <w:color w:val="auto"/>
                <w:sz w:val="32"/>
                <w:szCs w:val="32"/>
              </w:rPr>
            </w:pPr>
          </w:p>
        </w:tc>
        <w:tc>
          <w:tcPr>
            <w:tcW w:w="993" w:type="dxa"/>
            <w:tcBorders>
              <w:top w:val="single" w:color="000000" w:sz="4" w:space="0"/>
              <w:left w:val="nil"/>
              <w:bottom w:val="single" w:color="000000" w:sz="4" w:space="0"/>
              <w:right w:val="single" w:color="000000" w:sz="4" w:space="0"/>
            </w:tcBorders>
            <w:noWrap w:val="0"/>
            <w:vAlign w:val="top"/>
          </w:tcPr>
          <w:p w14:paraId="02D4F7D1">
            <w:pPr>
              <w:spacing w:line="360" w:lineRule="exact"/>
              <w:jc w:val="center"/>
              <w:rPr>
                <w:rFonts w:hint="eastAsia" w:ascii="仿宋_GB2312" w:hAnsi="仿宋_GB2312" w:eastAsia="仿宋_GB2312" w:cs="仿宋_GB2312"/>
                <w:color w:val="auto"/>
                <w:sz w:val="32"/>
                <w:szCs w:val="32"/>
              </w:rPr>
            </w:pPr>
          </w:p>
        </w:tc>
      </w:tr>
      <w:tr w14:paraId="21D2F9F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44" w:hRule="atLeast"/>
        </w:trPr>
        <w:tc>
          <w:tcPr>
            <w:tcW w:w="975" w:type="dxa"/>
            <w:vMerge w:val="continue"/>
            <w:tcBorders>
              <w:top w:val="nil"/>
              <w:left w:val="single" w:color="000000" w:sz="4" w:space="0"/>
              <w:bottom w:val="single" w:color="000000" w:sz="4" w:space="0"/>
              <w:right w:val="single" w:color="000000" w:sz="4" w:space="0"/>
            </w:tcBorders>
            <w:noWrap w:val="0"/>
            <w:vAlign w:val="center"/>
          </w:tcPr>
          <w:p w14:paraId="64574282">
            <w:pPr>
              <w:widowControl/>
              <w:jc w:val="left"/>
              <w:rPr>
                <w:rFonts w:hint="eastAsia" w:ascii="仿宋_GB2312" w:hAnsi="仿宋_GB2312" w:eastAsia="仿宋_GB2312" w:cs="仿宋_GB2312"/>
                <w:color w:val="auto"/>
                <w:sz w:val="32"/>
                <w:szCs w:val="32"/>
              </w:rPr>
            </w:pPr>
          </w:p>
        </w:tc>
        <w:tc>
          <w:tcPr>
            <w:tcW w:w="4819" w:type="dxa"/>
            <w:tcBorders>
              <w:top w:val="single" w:color="000000" w:sz="4" w:space="0"/>
              <w:left w:val="nil"/>
              <w:bottom w:val="single" w:color="000000" w:sz="4" w:space="0"/>
              <w:right w:val="single" w:color="000000" w:sz="4" w:space="0"/>
            </w:tcBorders>
            <w:noWrap w:val="0"/>
            <w:vAlign w:val="top"/>
          </w:tcPr>
          <w:p w14:paraId="4CF072A8">
            <w:pPr>
              <w:spacing w:line="360" w:lineRule="exact"/>
              <w:jc w:val="left"/>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2、钻研烹调技术，不断创新菜品，增加花色品种。每两天对荤菜品种变化调整。</w:t>
            </w:r>
          </w:p>
        </w:tc>
        <w:tc>
          <w:tcPr>
            <w:tcW w:w="1749" w:type="dxa"/>
            <w:vMerge w:val="continue"/>
            <w:tcBorders>
              <w:top w:val="nil"/>
              <w:left w:val="nil"/>
              <w:bottom w:val="single" w:color="000000" w:sz="4" w:space="0"/>
              <w:right w:val="single" w:color="000000" w:sz="4" w:space="0"/>
            </w:tcBorders>
            <w:noWrap w:val="0"/>
            <w:vAlign w:val="center"/>
          </w:tcPr>
          <w:p w14:paraId="3063BE35">
            <w:pPr>
              <w:widowControl/>
              <w:jc w:val="left"/>
              <w:rPr>
                <w:rFonts w:hint="eastAsia" w:ascii="仿宋_GB2312" w:hAnsi="仿宋_GB2312" w:eastAsia="仿宋_GB2312" w:cs="仿宋_GB2312"/>
                <w:color w:val="auto"/>
                <w:sz w:val="32"/>
                <w:szCs w:val="32"/>
              </w:rPr>
            </w:pPr>
          </w:p>
        </w:tc>
        <w:tc>
          <w:tcPr>
            <w:tcW w:w="1026" w:type="dxa"/>
            <w:tcBorders>
              <w:top w:val="single" w:color="000000" w:sz="4" w:space="0"/>
              <w:left w:val="nil"/>
              <w:bottom w:val="single" w:color="000000" w:sz="4" w:space="0"/>
              <w:right w:val="single" w:color="000000" w:sz="4" w:space="0"/>
            </w:tcBorders>
            <w:noWrap w:val="0"/>
            <w:vAlign w:val="top"/>
          </w:tcPr>
          <w:p w14:paraId="51E9CA40">
            <w:pPr>
              <w:spacing w:line="360" w:lineRule="exact"/>
              <w:jc w:val="center"/>
              <w:rPr>
                <w:rFonts w:hint="eastAsia" w:ascii="仿宋_GB2312" w:hAnsi="仿宋_GB2312" w:eastAsia="仿宋_GB2312" w:cs="仿宋_GB2312"/>
                <w:color w:val="auto"/>
                <w:sz w:val="32"/>
                <w:szCs w:val="32"/>
              </w:rPr>
            </w:pPr>
          </w:p>
        </w:tc>
        <w:tc>
          <w:tcPr>
            <w:tcW w:w="993" w:type="dxa"/>
            <w:tcBorders>
              <w:top w:val="single" w:color="000000" w:sz="4" w:space="0"/>
              <w:left w:val="nil"/>
              <w:bottom w:val="single" w:color="000000" w:sz="4" w:space="0"/>
              <w:right w:val="single" w:color="000000" w:sz="4" w:space="0"/>
            </w:tcBorders>
            <w:noWrap w:val="0"/>
            <w:vAlign w:val="top"/>
          </w:tcPr>
          <w:p w14:paraId="6FA5106E">
            <w:pPr>
              <w:spacing w:line="360" w:lineRule="exact"/>
              <w:jc w:val="center"/>
              <w:rPr>
                <w:rFonts w:hint="eastAsia" w:ascii="仿宋_GB2312" w:hAnsi="仿宋_GB2312" w:eastAsia="仿宋_GB2312" w:cs="仿宋_GB2312"/>
                <w:color w:val="auto"/>
                <w:sz w:val="32"/>
                <w:szCs w:val="32"/>
              </w:rPr>
            </w:pPr>
          </w:p>
        </w:tc>
      </w:tr>
      <w:tr w14:paraId="1B1D10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44" w:hRule="atLeast"/>
        </w:trPr>
        <w:tc>
          <w:tcPr>
            <w:tcW w:w="975" w:type="dxa"/>
            <w:vMerge w:val="continue"/>
            <w:tcBorders>
              <w:top w:val="nil"/>
              <w:left w:val="single" w:color="000000" w:sz="4" w:space="0"/>
              <w:bottom w:val="single" w:color="000000" w:sz="4" w:space="0"/>
              <w:right w:val="single" w:color="000000" w:sz="4" w:space="0"/>
            </w:tcBorders>
            <w:noWrap w:val="0"/>
            <w:vAlign w:val="center"/>
          </w:tcPr>
          <w:p w14:paraId="437A7156">
            <w:pPr>
              <w:widowControl/>
              <w:jc w:val="left"/>
              <w:rPr>
                <w:rFonts w:hint="eastAsia" w:ascii="仿宋_GB2312" w:hAnsi="仿宋_GB2312" w:eastAsia="仿宋_GB2312" w:cs="仿宋_GB2312"/>
                <w:color w:val="auto"/>
                <w:sz w:val="32"/>
                <w:szCs w:val="32"/>
              </w:rPr>
            </w:pPr>
          </w:p>
        </w:tc>
        <w:tc>
          <w:tcPr>
            <w:tcW w:w="4819" w:type="dxa"/>
            <w:tcBorders>
              <w:top w:val="single" w:color="000000" w:sz="4" w:space="0"/>
              <w:left w:val="nil"/>
              <w:bottom w:val="single" w:color="000000" w:sz="4" w:space="0"/>
              <w:right w:val="single" w:color="000000" w:sz="4" w:space="0"/>
            </w:tcBorders>
            <w:noWrap w:val="0"/>
            <w:vAlign w:val="top"/>
          </w:tcPr>
          <w:p w14:paraId="3E922C59">
            <w:pPr>
              <w:spacing w:line="360" w:lineRule="exact"/>
              <w:jc w:val="left"/>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3、每三天对蔬菜品种搭配变化调整。</w:t>
            </w:r>
          </w:p>
        </w:tc>
        <w:tc>
          <w:tcPr>
            <w:tcW w:w="1749" w:type="dxa"/>
            <w:vMerge w:val="continue"/>
            <w:tcBorders>
              <w:top w:val="nil"/>
              <w:left w:val="nil"/>
              <w:bottom w:val="single" w:color="000000" w:sz="4" w:space="0"/>
              <w:right w:val="single" w:color="000000" w:sz="4" w:space="0"/>
            </w:tcBorders>
            <w:noWrap w:val="0"/>
            <w:vAlign w:val="center"/>
          </w:tcPr>
          <w:p w14:paraId="2DBFD99B">
            <w:pPr>
              <w:widowControl/>
              <w:jc w:val="left"/>
              <w:rPr>
                <w:rFonts w:hint="eastAsia" w:ascii="仿宋_GB2312" w:hAnsi="仿宋_GB2312" w:eastAsia="仿宋_GB2312" w:cs="仿宋_GB2312"/>
                <w:color w:val="auto"/>
                <w:sz w:val="32"/>
                <w:szCs w:val="32"/>
              </w:rPr>
            </w:pPr>
          </w:p>
        </w:tc>
        <w:tc>
          <w:tcPr>
            <w:tcW w:w="1026" w:type="dxa"/>
            <w:tcBorders>
              <w:top w:val="single" w:color="000000" w:sz="4" w:space="0"/>
              <w:left w:val="nil"/>
              <w:bottom w:val="single" w:color="000000" w:sz="4" w:space="0"/>
              <w:right w:val="single" w:color="000000" w:sz="4" w:space="0"/>
            </w:tcBorders>
            <w:noWrap w:val="0"/>
            <w:vAlign w:val="top"/>
          </w:tcPr>
          <w:p w14:paraId="2698271F">
            <w:pPr>
              <w:spacing w:line="360" w:lineRule="exact"/>
              <w:jc w:val="center"/>
              <w:rPr>
                <w:rFonts w:hint="eastAsia" w:ascii="仿宋_GB2312" w:hAnsi="仿宋_GB2312" w:eastAsia="仿宋_GB2312" w:cs="仿宋_GB2312"/>
                <w:color w:val="auto"/>
                <w:sz w:val="32"/>
                <w:szCs w:val="32"/>
              </w:rPr>
            </w:pPr>
          </w:p>
        </w:tc>
        <w:tc>
          <w:tcPr>
            <w:tcW w:w="993" w:type="dxa"/>
            <w:tcBorders>
              <w:top w:val="single" w:color="000000" w:sz="4" w:space="0"/>
              <w:left w:val="nil"/>
              <w:bottom w:val="single" w:color="000000" w:sz="4" w:space="0"/>
              <w:right w:val="single" w:color="000000" w:sz="4" w:space="0"/>
            </w:tcBorders>
            <w:noWrap w:val="0"/>
            <w:vAlign w:val="top"/>
          </w:tcPr>
          <w:p w14:paraId="40973868">
            <w:pPr>
              <w:spacing w:line="360" w:lineRule="exact"/>
              <w:jc w:val="center"/>
              <w:rPr>
                <w:rFonts w:hint="eastAsia" w:ascii="仿宋_GB2312" w:hAnsi="仿宋_GB2312" w:eastAsia="仿宋_GB2312" w:cs="仿宋_GB2312"/>
                <w:color w:val="auto"/>
                <w:sz w:val="32"/>
                <w:szCs w:val="32"/>
              </w:rPr>
            </w:pPr>
          </w:p>
        </w:tc>
      </w:tr>
      <w:tr w14:paraId="0EF081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44" w:hRule="atLeast"/>
        </w:trPr>
        <w:tc>
          <w:tcPr>
            <w:tcW w:w="975" w:type="dxa"/>
            <w:vMerge w:val="continue"/>
            <w:tcBorders>
              <w:top w:val="nil"/>
              <w:left w:val="single" w:color="000000" w:sz="4" w:space="0"/>
              <w:bottom w:val="single" w:color="000000" w:sz="4" w:space="0"/>
              <w:right w:val="single" w:color="000000" w:sz="4" w:space="0"/>
            </w:tcBorders>
            <w:noWrap w:val="0"/>
            <w:vAlign w:val="center"/>
          </w:tcPr>
          <w:p w14:paraId="651E1ED5">
            <w:pPr>
              <w:widowControl/>
              <w:jc w:val="left"/>
              <w:rPr>
                <w:rFonts w:hint="eastAsia" w:ascii="仿宋_GB2312" w:hAnsi="仿宋_GB2312" w:eastAsia="仿宋_GB2312" w:cs="仿宋_GB2312"/>
                <w:color w:val="auto"/>
                <w:sz w:val="32"/>
                <w:szCs w:val="32"/>
              </w:rPr>
            </w:pPr>
          </w:p>
        </w:tc>
        <w:tc>
          <w:tcPr>
            <w:tcW w:w="4819" w:type="dxa"/>
            <w:tcBorders>
              <w:top w:val="single" w:color="000000" w:sz="4" w:space="0"/>
              <w:left w:val="nil"/>
              <w:bottom w:val="single" w:color="000000" w:sz="4" w:space="0"/>
              <w:right w:val="single" w:color="000000" w:sz="4" w:space="0"/>
            </w:tcBorders>
            <w:noWrap w:val="0"/>
            <w:vAlign w:val="top"/>
          </w:tcPr>
          <w:p w14:paraId="3C327F7B">
            <w:pPr>
              <w:spacing w:line="360" w:lineRule="exact"/>
              <w:jc w:val="left"/>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4、每周对菜、 汤品进行变化翻新。</w:t>
            </w:r>
          </w:p>
        </w:tc>
        <w:tc>
          <w:tcPr>
            <w:tcW w:w="1749" w:type="dxa"/>
            <w:vMerge w:val="continue"/>
            <w:tcBorders>
              <w:top w:val="nil"/>
              <w:left w:val="nil"/>
              <w:bottom w:val="single" w:color="000000" w:sz="4" w:space="0"/>
              <w:right w:val="single" w:color="000000" w:sz="4" w:space="0"/>
            </w:tcBorders>
            <w:noWrap w:val="0"/>
            <w:vAlign w:val="center"/>
          </w:tcPr>
          <w:p w14:paraId="72E03353">
            <w:pPr>
              <w:widowControl/>
              <w:jc w:val="left"/>
              <w:rPr>
                <w:rFonts w:hint="eastAsia" w:ascii="仿宋_GB2312" w:hAnsi="仿宋_GB2312" w:eastAsia="仿宋_GB2312" w:cs="仿宋_GB2312"/>
                <w:color w:val="auto"/>
                <w:sz w:val="32"/>
                <w:szCs w:val="32"/>
              </w:rPr>
            </w:pPr>
          </w:p>
        </w:tc>
        <w:tc>
          <w:tcPr>
            <w:tcW w:w="1026" w:type="dxa"/>
            <w:tcBorders>
              <w:top w:val="single" w:color="000000" w:sz="4" w:space="0"/>
              <w:left w:val="nil"/>
              <w:bottom w:val="single" w:color="000000" w:sz="4" w:space="0"/>
              <w:right w:val="single" w:color="000000" w:sz="4" w:space="0"/>
            </w:tcBorders>
            <w:noWrap w:val="0"/>
            <w:vAlign w:val="top"/>
          </w:tcPr>
          <w:p w14:paraId="1670F7F7">
            <w:pPr>
              <w:spacing w:line="360" w:lineRule="exact"/>
              <w:jc w:val="center"/>
              <w:rPr>
                <w:rFonts w:hint="eastAsia" w:ascii="仿宋_GB2312" w:hAnsi="仿宋_GB2312" w:eastAsia="仿宋_GB2312" w:cs="仿宋_GB2312"/>
                <w:color w:val="auto"/>
                <w:sz w:val="32"/>
                <w:szCs w:val="32"/>
              </w:rPr>
            </w:pPr>
          </w:p>
        </w:tc>
        <w:tc>
          <w:tcPr>
            <w:tcW w:w="993" w:type="dxa"/>
            <w:tcBorders>
              <w:top w:val="single" w:color="000000" w:sz="4" w:space="0"/>
              <w:left w:val="nil"/>
              <w:bottom w:val="single" w:color="000000" w:sz="4" w:space="0"/>
              <w:right w:val="single" w:color="000000" w:sz="4" w:space="0"/>
            </w:tcBorders>
            <w:noWrap w:val="0"/>
            <w:vAlign w:val="top"/>
          </w:tcPr>
          <w:p w14:paraId="5FD51C63">
            <w:pPr>
              <w:spacing w:line="360" w:lineRule="exact"/>
              <w:jc w:val="center"/>
              <w:rPr>
                <w:rFonts w:hint="eastAsia" w:ascii="仿宋_GB2312" w:hAnsi="仿宋_GB2312" w:eastAsia="仿宋_GB2312" w:cs="仿宋_GB2312"/>
                <w:color w:val="auto"/>
                <w:sz w:val="32"/>
                <w:szCs w:val="32"/>
              </w:rPr>
            </w:pPr>
          </w:p>
        </w:tc>
      </w:tr>
      <w:tr w14:paraId="13A181C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44" w:hRule="atLeast"/>
        </w:trPr>
        <w:tc>
          <w:tcPr>
            <w:tcW w:w="975" w:type="dxa"/>
            <w:vMerge w:val="continue"/>
            <w:tcBorders>
              <w:top w:val="nil"/>
              <w:left w:val="single" w:color="000000" w:sz="4" w:space="0"/>
              <w:bottom w:val="single" w:color="000000" w:sz="4" w:space="0"/>
              <w:right w:val="single" w:color="000000" w:sz="4" w:space="0"/>
            </w:tcBorders>
            <w:noWrap w:val="0"/>
            <w:vAlign w:val="center"/>
          </w:tcPr>
          <w:p w14:paraId="010AA33F">
            <w:pPr>
              <w:widowControl/>
              <w:jc w:val="left"/>
              <w:rPr>
                <w:rFonts w:hint="eastAsia" w:ascii="仿宋_GB2312" w:hAnsi="仿宋_GB2312" w:eastAsia="仿宋_GB2312" w:cs="仿宋_GB2312"/>
                <w:color w:val="auto"/>
                <w:sz w:val="32"/>
                <w:szCs w:val="32"/>
              </w:rPr>
            </w:pPr>
          </w:p>
        </w:tc>
        <w:tc>
          <w:tcPr>
            <w:tcW w:w="4819" w:type="dxa"/>
            <w:tcBorders>
              <w:top w:val="single" w:color="000000" w:sz="4" w:space="0"/>
              <w:left w:val="nil"/>
              <w:bottom w:val="single" w:color="000000" w:sz="4" w:space="0"/>
              <w:right w:val="single" w:color="000000" w:sz="4" w:space="0"/>
            </w:tcBorders>
            <w:noWrap w:val="0"/>
            <w:vAlign w:val="top"/>
          </w:tcPr>
          <w:p w14:paraId="442E027A">
            <w:pPr>
              <w:spacing w:line="360" w:lineRule="exact"/>
              <w:jc w:val="left"/>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rPr>
              <w:t>5、注重膳食营养均衡，合理搭配蛋白质、果蔬，严控重油重盐</w:t>
            </w:r>
            <w:r>
              <w:rPr>
                <w:rFonts w:hint="eastAsia" w:ascii="仿宋_GB2312" w:hAnsi="仿宋_GB2312" w:eastAsia="仿宋_GB2312" w:cs="仿宋_GB2312"/>
                <w:color w:val="auto"/>
                <w:sz w:val="32"/>
                <w:szCs w:val="32"/>
                <w:lang w:eastAsia="zh-CN"/>
              </w:rPr>
              <w:t>。</w:t>
            </w:r>
          </w:p>
        </w:tc>
        <w:tc>
          <w:tcPr>
            <w:tcW w:w="1749" w:type="dxa"/>
            <w:vMerge w:val="continue"/>
            <w:tcBorders>
              <w:top w:val="nil"/>
              <w:left w:val="nil"/>
              <w:bottom w:val="single" w:color="000000" w:sz="4" w:space="0"/>
              <w:right w:val="single" w:color="000000" w:sz="4" w:space="0"/>
            </w:tcBorders>
            <w:noWrap w:val="0"/>
            <w:vAlign w:val="center"/>
          </w:tcPr>
          <w:p w14:paraId="4C3C0A66">
            <w:pPr>
              <w:widowControl/>
              <w:jc w:val="left"/>
              <w:rPr>
                <w:rFonts w:hint="eastAsia" w:ascii="仿宋_GB2312" w:hAnsi="仿宋_GB2312" w:eastAsia="仿宋_GB2312" w:cs="仿宋_GB2312"/>
                <w:color w:val="auto"/>
                <w:sz w:val="32"/>
                <w:szCs w:val="32"/>
              </w:rPr>
            </w:pPr>
          </w:p>
        </w:tc>
        <w:tc>
          <w:tcPr>
            <w:tcW w:w="1026" w:type="dxa"/>
            <w:tcBorders>
              <w:top w:val="single" w:color="000000" w:sz="4" w:space="0"/>
              <w:left w:val="nil"/>
              <w:bottom w:val="single" w:color="000000" w:sz="4" w:space="0"/>
              <w:right w:val="single" w:color="000000" w:sz="4" w:space="0"/>
            </w:tcBorders>
            <w:noWrap w:val="0"/>
            <w:vAlign w:val="top"/>
          </w:tcPr>
          <w:p w14:paraId="6283CA7D">
            <w:pPr>
              <w:spacing w:line="360" w:lineRule="exact"/>
              <w:jc w:val="center"/>
              <w:rPr>
                <w:rFonts w:hint="eastAsia" w:ascii="仿宋_GB2312" w:hAnsi="仿宋_GB2312" w:eastAsia="仿宋_GB2312" w:cs="仿宋_GB2312"/>
                <w:color w:val="auto"/>
                <w:sz w:val="32"/>
                <w:szCs w:val="32"/>
              </w:rPr>
            </w:pPr>
          </w:p>
        </w:tc>
        <w:tc>
          <w:tcPr>
            <w:tcW w:w="993" w:type="dxa"/>
            <w:tcBorders>
              <w:top w:val="single" w:color="000000" w:sz="4" w:space="0"/>
              <w:left w:val="nil"/>
              <w:bottom w:val="single" w:color="000000" w:sz="4" w:space="0"/>
              <w:right w:val="single" w:color="000000" w:sz="4" w:space="0"/>
            </w:tcBorders>
            <w:noWrap w:val="0"/>
            <w:vAlign w:val="top"/>
          </w:tcPr>
          <w:p w14:paraId="51DA1B8D">
            <w:pPr>
              <w:spacing w:line="360" w:lineRule="exact"/>
              <w:jc w:val="center"/>
              <w:rPr>
                <w:rFonts w:hint="eastAsia" w:ascii="仿宋_GB2312" w:hAnsi="仿宋_GB2312" w:eastAsia="仿宋_GB2312" w:cs="仿宋_GB2312"/>
                <w:color w:val="auto"/>
                <w:sz w:val="32"/>
                <w:szCs w:val="32"/>
              </w:rPr>
            </w:pPr>
          </w:p>
        </w:tc>
      </w:tr>
      <w:tr w14:paraId="6F1A15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7" w:hRule="atLeast"/>
        </w:trPr>
        <w:tc>
          <w:tcPr>
            <w:tcW w:w="975" w:type="dxa"/>
            <w:vMerge w:val="restart"/>
            <w:tcBorders>
              <w:top w:val="nil"/>
              <w:left w:val="single" w:color="000000" w:sz="4" w:space="0"/>
              <w:bottom w:val="single" w:color="000000" w:sz="4" w:space="0"/>
              <w:right w:val="single" w:color="000000" w:sz="4" w:space="0"/>
            </w:tcBorders>
            <w:noWrap w:val="0"/>
            <w:vAlign w:val="center"/>
          </w:tcPr>
          <w:p w14:paraId="74DBC087">
            <w:pPr>
              <w:spacing w:line="360" w:lineRule="exact"/>
              <w:jc w:val="center"/>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饭菜量价</w:t>
            </w:r>
          </w:p>
        </w:tc>
        <w:tc>
          <w:tcPr>
            <w:tcW w:w="4819" w:type="dxa"/>
            <w:tcBorders>
              <w:top w:val="single" w:color="000000" w:sz="4" w:space="0"/>
              <w:left w:val="nil"/>
              <w:bottom w:val="single" w:color="000000" w:sz="4" w:space="0"/>
              <w:right w:val="single" w:color="000000" w:sz="4" w:space="0"/>
            </w:tcBorders>
            <w:noWrap w:val="0"/>
            <w:vAlign w:val="top"/>
          </w:tcPr>
          <w:p w14:paraId="11F62AD6">
            <w:pPr>
              <w:spacing w:line="360" w:lineRule="exact"/>
              <w:jc w:val="left"/>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 xml:space="preserve">1、各类餐食保质保量供应。 </w:t>
            </w:r>
          </w:p>
        </w:tc>
        <w:tc>
          <w:tcPr>
            <w:tcW w:w="1749" w:type="dxa"/>
            <w:vMerge w:val="restart"/>
            <w:tcBorders>
              <w:top w:val="nil"/>
              <w:left w:val="nil"/>
              <w:bottom w:val="single" w:color="000000" w:sz="4" w:space="0"/>
              <w:right w:val="single" w:color="000000" w:sz="4" w:space="0"/>
            </w:tcBorders>
            <w:noWrap w:val="0"/>
            <w:vAlign w:val="center"/>
          </w:tcPr>
          <w:p w14:paraId="6D59A058">
            <w:pPr>
              <w:spacing w:line="360" w:lineRule="exact"/>
              <w:jc w:val="center"/>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每有1项未做到扣2分</w:t>
            </w:r>
          </w:p>
        </w:tc>
        <w:tc>
          <w:tcPr>
            <w:tcW w:w="1026" w:type="dxa"/>
            <w:tcBorders>
              <w:top w:val="single" w:color="000000" w:sz="4" w:space="0"/>
              <w:left w:val="nil"/>
              <w:bottom w:val="single" w:color="000000" w:sz="4" w:space="0"/>
              <w:right w:val="single" w:color="000000" w:sz="4" w:space="0"/>
            </w:tcBorders>
            <w:noWrap w:val="0"/>
            <w:vAlign w:val="top"/>
          </w:tcPr>
          <w:p w14:paraId="21912112">
            <w:pPr>
              <w:spacing w:line="360" w:lineRule="exact"/>
              <w:jc w:val="center"/>
              <w:rPr>
                <w:rFonts w:hint="eastAsia" w:ascii="仿宋_GB2312" w:hAnsi="仿宋_GB2312" w:eastAsia="仿宋_GB2312" w:cs="仿宋_GB2312"/>
                <w:color w:val="auto"/>
                <w:sz w:val="32"/>
                <w:szCs w:val="32"/>
              </w:rPr>
            </w:pPr>
          </w:p>
        </w:tc>
        <w:tc>
          <w:tcPr>
            <w:tcW w:w="993" w:type="dxa"/>
            <w:tcBorders>
              <w:top w:val="single" w:color="000000" w:sz="4" w:space="0"/>
              <w:left w:val="nil"/>
              <w:bottom w:val="single" w:color="000000" w:sz="4" w:space="0"/>
              <w:right w:val="single" w:color="000000" w:sz="4" w:space="0"/>
            </w:tcBorders>
            <w:noWrap w:val="0"/>
            <w:vAlign w:val="top"/>
          </w:tcPr>
          <w:p w14:paraId="537143D2">
            <w:pPr>
              <w:spacing w:line="360" w:lineRule="exact"/>
              <w:jc w:val="center"/>
              <w:rPr>
                <w:rFonts w:hint="eastAsia" w:ascii="仿宋_GB2312" w:hAnsi="仿宋_GB2312" w:eastAsia="仿宋_GB2312" w:cs="仿宋_GB2312"/>
                <w:color w:val="auto"/>
                <w:sz w:val="32"/>
                <w:szCs w:val="32"/>
              </w:rPr>
            </w:pPr>
          </w:p>
        </w:tc>
      </w:tr>
      <w:tr w14:paraId="38AA94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44" w:hRule="atLeast"/>
        </w:trPr>
        <w:tc>
          <w:tcPr>
            <w:tcW w:w="975" w:type="dxa"/>
            <w:vMerge w:val="continue"/>
            <w:tcBorders>
              <w:top w:val="nil"/>
              <w:left w:val="single" w:color="000000" w:sz="4" w:space="0"/>
              <w:bottom w:val="single" w:color="000000" w:sz="4" w:space="0"/>
              <w:right w:val="single" w:color="000000" w:sz="4" w:space="0"/>
            </w:tcBorders>
            <w:noWrap w:val="0"/>
            <w:vAlign w:val="center"/>
          </w:tcPr>
          <w:p w14:paraId="5ADF6828">
            <w:pPr>
              <w:widowControl/>
              <w:jc w:val="left"/>
              <w:rPr>
                <w:rFonts w:hint="eastAsia" w:ascii="仿宋_GB2312" w:hAnsi="仿宋_GB2312" w:eastAsia="仿宋_GB2312" w:cs="仿宋_GB2312"/>
                <w:color w:val="auto"/>
                <w:sz w:val="32"/>
                <w:szCs w:val="32"/>
              </w:rPr>
            </w:pPr>
          </w:p>
        </w:tc>
        <w:tc>
          <w:tcPr>
            <w:tcW w:w="4819" w:type="dxa"/>
            <w:tcBorders>
              <w:top w:val="single" w:color="000000" w:sz="4" w:space="0"/>
              <w:left w:val="nil"/>
              <w:bottom w:val="single" w:color="000000" w:sz="4" w:space="0"/>
              <w:right w:val="single" w:color="000000" w:sz="4" w:space="0"/>
            </w:tcBorders>
            <w:noWrap w:val="0"/>
            <w:vAlign w:val="top"/>
          </w:tcPr>
          <w:p w14:paraId="3C004541">
            <w:pPr>
              <w:spacing w:line="360" w:lineRule="exact"/>
              <w:jc w:val="left"/>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2、按公示的价格供应，不得私自抬高价格。</w:t>
            </w:r>
          </w:p>
        </w:tc>
        <w:tc>
          <w:tcPr>
            <w:tcW w:w="1749" w:type="dxa"/>
            <w:vMerge w:val="continue"/>
            <w:tcBorders>
              <w:top w:val="nil"/>
              <w:left w:val="nil"/>
              <w:bottom w:val="single" w:color="000000" w:sz="4" w:space="0"/>
              <w:right w:val="single" w:color="000000" w:sz="4" w:space="0"/>
            </w:tcBorders>
            <w:noWrap w:val="0"/>
            <w:vAlign w:val="center"/>
          </w:tcPr>
          <w:p w14:paraId="279139EC">
            <w:pPr>
              <w:widowControl/>
              <w:jc w:val="left"/>
              <w:rPr>
                <w:rFonts w:hint="eastAsia" w:ascii="仿宋_GB2312" w:hAnsi="仿宋_GB2312" w:eastAsia="仿宋_GB2312" w:cs="仿宋_GB2312"/>
                <w:color w:val="auto"/>
                <w:sz w:val="32"/>
                <w:szCs w:val="32"/>
              </w:rPr>
            </w:pPr>
          </w:p>
        </w:tc>
        <w:tc>
          <w:tcPr>
            <w:tcW w:w="1026" w:type="dxa"/>
            <w:tcBorders>
              <w:top w:val="single" w:color="000000" w:sz="4" w:space="0"/>
              <w:left w:val="nil"/>
              <w:bottom w:val="single" w:color="000000" w:sz="4" w:space="0"/>
              <w:right w:val="single" w:color="000000" w:sz="4" w:space="0"/>
            </w:tcBorders>
            <w:noWrap w:val="0"/>
            <w:vAlign w:val="top"/>
          </w:tcPr>
          <w:p w14:paraId="39365FDB">
            <w:pPr>
              <w:spacing w:line="360" w:lineRule="exact"/>
              <w:jc w:val="center"/>
              <w:rPr>
                <w:rFonts w:hint="eastAsia" w:ascii="仿宋_GB2312" w:hAnsi="仿宋_GB2312" w:eastAsia="仿宋_GB2312" w:cs="仿宋_GB2312"/>
                <w:color w:val="auto"/>
                <w:sz w:val="32"/>
                <w:szCs w:val="32"/>
              </w:rPr>
            </w:pPr>
          </w:p>
        </w:tc>
        <w:tc>
          <w:tcPr>
            <w:tcW w:w="993" w:type="dxa"/>
            <w:tcBorders>
              <w:top w:val="single" w:color="000000" w:sz="4" w:space="0"/>
              <w:left w:val="nil"/>
              <w:bottom w:val="single" w:color="000000" w:sz="4" w:space="0"/>
              <w:right w:val="single" w:color="000000" w:sz="4" w:space="0"/>
            </w:tcBorders>
            <w:noWrap w:val="0"/>
            <w:vAlign w:val="top"/>
          </w:tcPr>
          <w:p w14:paraId="2BAF3252">
            <w:pPr>
              <w:spacing w:line="360" w:lineRule="exact"/>
              <w:jc w:val="center"/>
              <w:rPr>
                <w:rFonts w:hint="eastAsia" w:ascii="仿宋_GB2312" w:hAnsi="仿宋_GB2312" w:eastAsia="仿宋_GB2312" w:cs="仿宋_GB2312"/>
                <w:color w:val="auto"/>
                <w:sz w:val="32"/>
                <w:szCs w:val="32"/>
              </w:rPr>
            </w:pPr>
          </w:p>
        </w:tc>
      </w:tr>
      <w:tr w14:paraId="561CB92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44" w:hRule="atLeast"/>
        </w:trPr>
        <w:tc>
          <w:tcPr>
            <w:tcW w:w="975" w:type="dxa"/>
            <w:vMerge w:val="restart"/>
            <w:tcBorders>
              <w:top w:val="nil"/>
              <w:left w:val="single" w:color="000000" w:sz="4" w:space="0"/>
              <w:bottom w:val="single" w:color="000000" w:sz="4" w:space="0"/>
              <w:right w:val="single" w:color="000000" w:sz="4" w:space="0"/>
            </w:tcBorders>
            <w:noWrap w:val="0"/>
            <w:vAlign w:val="center"/>
          </w:tcPr>
          <w:p w14:paraId="7711EAF0">
            <w:pPr>
              <w:spacing w:line="360" w:lineRule="exact"/>
              <w:jc w:val="center"/>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清洁卫生</w:t>
            </w:r>
          </w:p>
        </w:tc>
        <w:tc>
          <w:tcPr>
            <w:tcW w:w="4819" w:type="dxa"/>
            <w:tcBorders>
              <w:top w:val="single" w:color="000000" w:sz="4" w:space="0"/>
              <w:left w:val="nil"/>
              <w:bottom w:val="single" w:color="000000" w:sz="4" w:space="0"/>
              <w:right w:val="single" w:color="000000" w:sz="4" w:space="0"/>
            </w:tcBorders>
            <w:noWrap w:val="0"/>
            <w:vAlign w:val="center"/>
          </w:tcPr>
          <w:p w14:paraId="3D19CC28">
            <w:pPr>
              <w:spacing w:line="360" w:lineRule="atLeast"/>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 xml:space="preserve">1、无蟑螂、苍蝇等有害昆虫；熟食品、面点、酱菜等有防蚊蝇措施。 </w:t>
            </w:r>
          </w:p>
        </w:tc>
        <w:tc>
          <w:tcPr>
            <w:tcW w:w="1749" w:type="dxa"/>
            <w:vMerge w:val="restart"/>
            <w:tcBorders>
              <w:top w:val="nil"/>
              <w:left w:val="nil"/>
              <w:bottom w:val="single" w:color="000000" w:sz="4" w:space="0"/>
              <w:right w:val="single" w:color="000000" w:sz="4" w:space="0"/>
            </w:tcBorders>
            <w:noWrap w:val="0"/>
            <w:vAlign w:val="center"/>
          </w:tcPr>
          <w:p w14:paraId="15FC82D3">
            <w:pPr>
              <w:spacing w:line="360" w:lineRule="exact"/>
              <w:jc w:val="center"/>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每有1项未做到扣2分</w:t>
            </w:r>
          </w:p>
        </w:tc>
        <w:tc>
          <w:tcPr>
            <w:tcW w:w="1026" w:type="dxa"/>
            <w:tcBorders>
              <w:top w:val="single" w:color="000000" w:sz="4" w:space="0"/>
              <w:left w:val="nil"/>
              <w:bottom w:val="single" w:color="000000" w:sz="4" w:space="0"/>
              <w:right w:val="single" w:color="000000" w:sz="4" w:space="0"/>
            </w:tcBorders>
            <w:noWrap w:val="0"/>
            <w:vAlign w:val="center"/>
          </w:tcPr>
          <w:p w14:paraId="1F233ED3">
            <w:pPr>
              <w:spacing w:line="360" w:lineRule="exact"/>
              <w:rPr>
                <w:rFonts w:hint="eastAsia" w:ascii="仿宋_GB2312" w:hAnsi="仿宋_GB2312" w:eastAsia="仿宋_GB2312" w:cs="仿宋_GB2312"/>
                <w:color w:val="auto"/>
                <w:sz w:val="32"/>
                <w:szCs w:val="32"/>
              </w:rPr>
            </w:pPr>
          </w:p>
        </w:tc>
        <w:tc>
          <w:tcPr>
            <w:tcW w:w="993" w:type="dxa"/>
            <w:tcBorders>
              <w:top w:val="single" w:color="000000" w:sz="4" w:space="0"/>
              <w:left w:val="nil"/>
              <w:bottom w:val="single" w:color="000000" w:sz="4" w:space="0"/>
              <w:right w:val="single" w:color="000000" w:sz="4" w:space="0"/>
            </w:tcBorders>
            <w:noWrap w:val="0"/>
            <w:vAlign w:val="center"/>
          </w:tcPr>
          <w:p w14:paraId="5CEBD68E">
            <w:pPr>
              <w:spacing w:line="360" w:lineRule="exact"/>
              <w:rPr>
                <w:rFonts w:hint="eastAsia" w:ascii="仿宋_GB2312" w:hAnsi="仿宋_GB2312" w:eastAsia="仿宋_GB2312" w:cs="仿宋_GB2312"/>
                <w:color w:val="auto"/>
                <w:sz w:val="32"/>
                <w:szCs w:val="32"/>
              </w:rPr>
            </w:pPr>
          </w:p>
        </w:tc>
      </w:tr>
      <w:tr w14:paraId="7CD7E0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44" w:hRule="atLeast"/>
        </w:trPr>
        <w:tc>
          <w:tcPr>
            <w:tcW w:w="975" w:type="dxa"/>
            <w:vMerge w:val="continue"/>
            <w:tcBorders>
              <w:top w:val="nil"/>
              <w:left w:val="single" w:color="000000" w:sz="4" w:space="0"/>
              <w:bottom w:val="single" w:color="000000" w:sz="4" w:space="0"/>
              <w:right w:val="single" w:color="000000" w:sz="4" w:space="0"/>
            </w:tcBorders>
            <w:noWrap w:val="0"/>
            <w:vAlign w:val="center"/>
          </w:tcPr>
          <w:p w14:paraId="3E3EA6CF">
            <w:pPr>
              <w:widowControl/>
              <w:jc w:val="left"/>
              <w:rPr>
                <w:rFonts w:hint="eastAsia" w:ascii="仿宋_GB2312" w:hAnsi="仿宋_GB2312" w:eastAsia="仿宋_GB2312" w:cs="仿宋_GB2312"/>
                <w:color w:val="auto"/>
                <w:sz w:val="32"/>
                <w:szCs w:val="32"/>
              </w:rPr>
            </w:pPr>
          </w:p>
        </w:tc>
        <w:tc>
          <w:tcPr>
            <w:tcW w:w="4819" w:type="dxa"/>
            <w:tcBorders>
              <w:top w:val="single" w:color="000000" w:sz="4" w:space="0"/>
              <w:left w:val="nil"/>
              <w:bottom w:val="single" w:color="000000" w:sz="4" w:space="0"/>
              <w:right w:val="single" w:color="000000" w:sz="4" w:space="0"/>
            </w:tcBorders>
            <w:noWrap w:val="0"/>
            <w:vAlign w:val="center"/>
          </w:tcPr>
          <w:p w14:paraId="28B9FAE8">
            <w:pPr>
              <w:spacing w:line="360" w:lineRule="atLeast"/>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2、操作台、地板、货物架、调料台、蒸箱清洁无灰尘及油污，洗菜池无泥沙、脏垢及异味。抹布专用洁净，分类悬挂；垃圾桶定位摆放。</w:t>
            </w:r>
          </w:p>
        </w:tc>
        <w:tc>
          <w:tcPr>
            <w:tcW w:w="1749" w:type="dxa"/>
            <w:vMerge w:val="continue"/>
            <w:tcBorders>
              <w:top w:val="nil"/>
              <w:left w:val="nil"/>
              <w:bottom w:val="single" w:color="000000" w:sz="4" w:space="0"/>
              <w:right w:val="single" w:color="000000" w:sz="4" w:space="0"/>
            </w:tcBorders>
            <w:noWrap w:val="0"/>
            <w:vAlign w:val="center"/>
          </w:tcPr>
          <w:p w14:paraId="0D60283D">
            <w:pPr>
              <w:widowControl/>
              <w:jc w:val="left"/>
              <w:rPr>
                <w:rFonts w:hint="eastAsia" w:ascii="仿宋_GB2312" w:hAnsi="仿宋_GB2312" w:eastAsia="仿宋_GB2312" w:cs="仿宋_GB2312"/>
                <w:color w:val="auto"/>
                <w:sz w:val="32"/>
                <w:szCs w:val="32"/>
              </w:rPr>
            </w:pPr>
          </w:p>
        </w:tc>
        <w:tc>
          <w:tcPr>
            <w:tcW w:w="1026" w:type="dxa"/>
            <w:tcBorders>
              <w:top w:val="single" w:color="000000" w:sz="4" w:space="0"/>
              <w:left w:val="nil"/>
              <w:bottom w:val="single" w:color="000000" w:sz="4" w:space="0"/>
              <w:right w:val="single" w:color="000000" w:sz="4" w:space="0"/>
            </w:tcBorders>
            <w:noWrap w:val="0"/>
            <w:vAlign w:val="center"/>
          </w:tcPr>
          <w:p w14:paraId="19046823">
            <w:pPr>
              <w:spacing w:line="360" w:lineRule="exact"/>
              <w:rPr>
                <w:rFonts w:hint="eastAsia" w:ascii="仿宋_GB2312" w:hAnsi="仿宋_GB2312" w:eastAsia="仿宋_GB2312" w:cs="仿宋_GB2312"/>
                <w:color w:val="auto"/>
                <w:sz w:val="32"/>
                <w:szCs w:val="32"/>
              </w:rPr>
            </w:pPr>
          </w:p>
        </w:tc>
        <w:tc>
          <w:tcPr>
            <w:tcW w:w="993" w:type="dxa"/>
            <w:tcBorders>
              <w:top w:val="single" w:color="000000" w:sz="4" w:space="0"/>
              <w:left w:val="nil"/>
              <w:bottom w:val="single" w:color="000000" w:sz="4" w:space="0"/>
              <w:right w:val="single" w:color="000000" w:sz="4" w:space="0"/>
            </w:tcBorders>
            <w:noWrap w:val="0"/>
            <w:vAlign w:val="center"/>
          </w:tcPr>
          <w:p w14:paraId="3D11061E">
            <w:pPr>
              <w:spacing w:line="360" w:lineRule="exact"/>
              <w:rPr>
                <w:rFonts w:hint="eastAsia" w:ascii="仿宋_GB2312" w:hAnsi="仿宋_GB2312" w:eastAsia="仿宋_GB2312" w:cs="仿宋_GB2312"/>
                <w:color w:val="auto"/>
                <w:sz w:val="32"/>
                <w:szCs w:val="32"/>
              </w:rPr>
            </w:pPr>
          </w:p>
        </w:tc>
      </w:tr>
      <w:tr w14:paraId="3ABDA3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44" w:hRule="atLeast"/>
        </w:trPr>
        <w:tc>
          <w:tcPr>
            <w:tcW w:w="975" w:type="dxa"/>
            <w:vMerge w:val="continue"/>
            <w:tcBorders>
              <w:top w:val="nil"/>
              <w:left w:val="single" w:color="000000" w:sz="4" w:space="0"/>
              <w:bottom w:val="single" w:color="000000" w:sz="4" w:space="0"/>
              <w:right w:val="single" w:color="000000" w:sz="4" w:space="0"/>
            </w:tcBorders>
            <w:noWrap w:val="0"/>
            <w:vAlign w:val="center"/>
          </w:tcPr>
          <w:p w14:paraId="0E3497AF">
            <w:pPr>
              <w:widowControl/>
              <w:jc w:val="left"/>
              <w:rPr>
                <w:rFonts w:hint="eastAsia" w:ascii="仿宋_GB2312" w:hAnsi="仿宋_GB2312" w:eastAsia="仿宋_GB2312" w:cs="仿宋_GB2312"/>
                <w:color w:val="auto"/>
                <w:sz w:val="32"/>
                <w:szCs w:val="32"/>
              </w:rPr>
            </w:pPr>
          </w:p>
        </w:tc>
        <w:tc>
          <w:tcPr>
            <w:tcW w:w="4819" w:type="dxa"/>
            <w:tcBorders>
              <w:top w:val="single" w:color="000000" w:sz="4" w:space="0"/>
              <w:left w:val="nil"/>
              <w:bottom w:val="single" w:color="000000" w:sz="4" w:space="0"/>
              <w:right w:val="single" w:color="000000" w:sz="4" w:space="0"/>
            </w:tcBorders>
            <w:noWrap w:val="0"/>
            <w:vAlign w:val="center"/>
          </w:tcPr>
          <w:p w14:paraId="68D96A47">
            <w:pPr>
              <w:spacing w:line="360" w:lineRule="atLeast"/>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3、切菜板、刀具生熟分开，标识明确； 厨具整齐摆放于固定位查，标识明确。</w:t>
            </w:r>
          </w:p>
        </w:tc>
        <w:tc>
          <w:tcPr>
            <w:tcW w:w="1749" w:type="dxa"/>
            <w:vMerge w:val="continue"/>
            <w:tcBorders>
              <w:top w:val="nil"/>
              <w:left w:val="nil"/>
              <w:bottom w:val="single" w:color="000000" w:sz="4" w:space="0"/>
              <w:right w:val="single" w:color="000000" w:sz="4" w:space="0"/>
            </w:tcBorders>
            <w:noWrap w:val="0"/>
            <w:vAlign w:val="center"/>
          </w:tcPr>
          <w:p w14:paraId="64F1875B">
            <w:pPr>
              <w:widowControl/>
              <w:jc w:val="left"/>
              <w:rPr>
                <w:rFonts w:hint="eastAsia" w:ascii="仿宋_GB2312" w:hAnsi="仿宋_GB2312" w:eastAsia="仿宋_GB2312" w:cs="仿宋_GB2312"/>
                <w:color w:val="auto"/>
                <w:sz w:val="32"/>
                <w:szCs w:val="32"/>
              </w:rPr>
            </w:pPr>
          </w:p>
        </w:tc>
        <w:tc>
          <w:tcPr>
            <w:tcW w:w="1026" w:type="dxa"/>
            <w:tcBorders>
              <w:top w:val="single" w:color="000000" w:sz="4" w:space="0"/>
              <w:left w:val="nil"/>
              <w:bottom w:val="single" w:color="000000" w:sz="4" w:space="0"/>
              <w:right w:val="single" w:color="000000" w:sz="4" w:space="0"/>
            </w:tcBorders>
            <w:noWrap w:val="0"/>
            <w:vAlign w:val="center"/>
          </w:tcPr>
          <w:p w14:paraId="33AA0CB3">
            <w:pPr>
              <w:spacing w:line="360" w:lineRule="exact"/>
              <w:rPr>
                <w:rFonts w:hint="eastAsia" w:ascii="仿宋_GB2312" w:hAnsi="仿宋_GB2312" w:eastAsia="仿宋_GB2312" w:cs="仿宋_GB2312"/>
                <w:color w:val="auto"/>
                <w:sz w:val="32"/>
                <w:szCs w:val="32"/>
              </w:rPr>
            </w:pPr>
          </w:p>
        </w:tc>
        <w:tc>
          <w:tcPr>
            <w:tcW w:w="993" w:type="dxa"/>
            <w:tcBorders>
              <w:top w:val="single" w:color="000000" w:sz="4" w:space="0"/>
              <w:left w:val="nil"/>
              <w:bottom w:val="single" w:color="000000" w:sz="4" w:space="0"/>
              <w:right w:val="single" w:color="000000" w:sz="4" w:space="0"/>
            </w:tcBorders>
            <w:noWrap w:val="0"/>
            <w:vAlign w:val="center"/>
          </w:tcPr>
          <w:p w14:paraId="505D03A0">
            <w:pPr>
              <w:spacing w:line="360" w:lineRule="exact"/>
              <w:rPr>
                <w:rFonts w:hint="eastAsia" w:ascii="仿宋_GB2312" w:hAnsi="仿宋_GB2312" w:eastAsia="仿宋_GB2312" w:cs="仿宋_GB2312"/>
                <w:color w:val="auto"/>
                <w:sz w:val="32"/>
                <w:szCs w:val="32"/>
              </w:rPr>
            </w:pPr>
          </w:p>
        </w:tc>
      </w:tr>
      <w:tr w14:paraId="65FAB91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44" w:hRule="atLeast"/>
        </w:trPr>
        <w:tc>
          <w:tcPr>
            <w:tcW w:w="975" w:type="dxa"/>
            <w:vMerge w:val="continue"/>
            <w:tcBorders>
              <w:top w:val="nil"/>
              <w:left w:val="single" w:color="000000" w:sz="4" w:space="0"/>
              <w:bottom w:val="single" w:color="000000" w:sz="4" w:space="0"/>
              <w:right w:val="single" w:color="000000" w:sz="4" w:space="0"/>
            </w:tcBorders>
            <w:noWrap w:val="0"/>
            <w:vAlign w:val="center"/>
          </w:tcPr>
          <w:p w14:paraId="1F3863CB">
            <w:pPr>
              <w:widowControl/>
              <w:jc w:val="left"/>
              <w:rPr>
                <w:rFonts w:hint="eastAsia" w:ascii="仿宋_GB2312" w:hAnsi="仿宋_GB2312" w:eastAsia="仿宋_GB2312" w:cs="仿宋_GB2312"/>
                <w:color w:val="auto"/>
                <w:sz w:val="32"/>
                <w:szCs w:val="32"/>
              </w:rPr>
            </w:pPr>
          </w:p>
        </w:tc>
        <w:tc>
          <w:tcPr>
            <w:tcW w:w="4819" w:type="dxa"/>
            <w:tcBorders>
              <w:top w:val="single" w:color="000000" w:sz="4" w:space="0"/>
              <w:left w:val="nil"/>
              <w:bottom w:val="single" w:color="000000" w:sz="4" w:space="0"/>
              <w:right w:val="single" w:color="000000" w:sz="4" w:space="0"/>
            </w:tcBorders>
            <w:noWrap w:val="0"/>
            <w:vAlign w:val="center"/>
          </w:tcPr>
          <w:p w14:paraId="459B00B2">
            <w:pPr>
              <w:spacing w:line="360" w:lineRule="atLeast"/>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4、就餐大厅地面、门窗清洁，无积尘、蛛网，地毯清洁，铺设整齐。</w:t>
            </w:r>
          </w:p>
        </w:tc>
        <w:tc>
          <w:tcPr>
            <w:tcW w:w="1749" w:type="dxa"/>
            <w:vMerge w:val="continue"/>
            <w:tcBorders>
              <w:top w:val="nil"/>
              <w:left w:val="nil"/>
              <w:bottom w:val="single" w:color="000000" w:sz="4" w:space="0"/>
              <w:right w:val="single" w:color="000000" w:sz="4" w:space="0"/>
            </w:tcBorders>
            <w:noWrap w:val="0"/>
            <w:vAlign w:val="center"/>
          </w:tcPr>
          <w:p w14:paraId="5E592382">
            <w:pPr>
              <w:widowControl/>
              <w:jc w:val="left"/>
              <w:rPr>
                <w:rFonts w:hint="eastAsia" w:ascii="仿宋_GB2312" w:hAnsi="仿宋_GB2312" w:eastAsia="仿宋_GB2312" w:cs="仿宋_GB2312"/>
                <w:color w:val="auto"/>
                <w:sz w:val="32"/>
                <w:szCs w:val="32"/>
              </w:rPr>
            </w:pPr>
          </w:p>
        </w:tc>
        <w:tc>
          <w:tcPr>
            <w:tcW w:w="1026" w:type="dxa"/>
            <w:tcBorders>
              <w:top w:val="single" w:color="000000" w:sz="4" w:space="0"/>
              <w:left w:val="nil"/>
              <w:bottom w:val="single" w:color="000000" w:sz="4" w:space="0"/>
              <w:right w:val="single" w:color="000000" w:sz="4" w:space="0"/>
            </w:tcBorders>
            <w:noWrap w:val="0"/>
            <w:vAlign w:val="center"/>
          </w:tcPr>
          <w:p w14:paraId="4DC17F30">
            <w:pPr>
              <w:spacing w:line="360" w:lineRule="exact"/>
              <w:rPr>
                <w:rFonts w:hint="eastAsia" w:ascii="仿宋_GB2312" w:hAnsi="仿宋_GB2312" w:eastAsia="仿宋_GB2312" w:cs="仿宋_GB2312"/>
                <w:color w:val="auto"/>
                <w:sz w:val="32"/>
                <w:szCs w:val="32"/>
              </w:rPr>
            </w:pPr>
          </w:p>
        </w:tc>
        <w:tc>
          <w:tcPr>
            <w:tcW w:w="993" w:type="dxa"/>
            <w:tcBorders>
              <w:top w:val="single" w:color="000000" w:sz="4" w:space="0"/>
              <w:left w:val="nil"/>
              <w:bottom w:val="single" w:color="000000" w:sz="4" w:space="0"/>
              <w:right w:val="single" w:color="000000" w:sz="4" w:space="0"/>
            </w:tcBorders>
            <w:noWrap w:val="0"/>
            <w:vAlign w:val="center"/>
          </w:tcPr>
          <w:p w14:paraId="3A9ADE07">
            <w:pPr>
              <w:spacing w:line="360" w:lineRule="exact"/>
              <w:rPr>
                <w:rFonts w:hint="eastAsia" w:ascii="仿宋_GB2312" w:hAnsi="仿宋_GB2312" w:eastAsia="仿宋_GB2312" w:cs="仿宋_GB2312"/>
                <w:color w:val="auto"/>
                <w:sz w:val="32"/>
                <w:szCs w:val="32"/>
              </w:rPr>
            </w:pPr>
          </w:p>
        </w:tc>
      </w:tr>
      <w:tr w14:paraId="3FBAA2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44" w:hRule="atLeast"/>
        </w:trPr>
        <w:tc>
          <w:tcPr>
            <w:tcW w:w="975" w:type="dxa"/>
            <w:vMerge w:val="continue"/>
            <w:tcBorders>
              <w:top w:val="nil"/>
              <w:left w:val="single" w:color="000000" w:sz="4" w:space="0"/>
              <w:bottom w:val="single" w:color="000000" w:sz="4" w:space="0"/>
              <w:right w:val="single" w:color="000000" w:sz="4" w:space="0"/>
            </w:tcBorders>
            <w:noWrap w:val="0"/>
            <w:vAlign w:val="center"/>
          </w:tcPr>
          <w:p w14:paraId="3CE3DFFF">
            <w:pPr>
              <w:widowControl/>
              <w:jc w:val="left"/>
              <w:rPr>
                <w:rFonts w:hint="eastAsia" w:ascii="仿宋_GB2312" w:hAnsi="仿宋_GB2312" w:eastAsia="仿宋_GB2312" w:cs="仿宋_GB2312"/>
                <w:color w:val="auto"/>
                <w:sz w:val="32"/>
                <w:szCs w:val="32"/>
              </w:rPr>
            </w:pPr>
          </w:p>
        </w:tc>
        <w:tc>
          <w:tcPr>
            <w:tcW w:w="4819" w:type="dxa"/>
            <w:tcBorders>
              <w:top w:val="single" w:color="000000" w:sz="4" w:space="0"/>
              <w:left w:val="nil"/>
              <w:bottom w:val="single" w:color="000000" w:sz="4" w:space="0"/>
              <w:right w:val="single" w:color="000000" w:sz="4" w:space="0"/>
            </w:tcBorders>
            <w:noWrap w:val="0"/>
            <w:vAlign w:val="center"/>
          </w:tcPr>
          <w:p w14:paraId="1A04FA01">
            <w:pPr>
              <w:spacing w:line="360" w:lineRule="atLeast"/>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 xml:space="preserve">5、厨具、餐具按清洗流程: 1 洗2刷3冲4消毒，无污物，无水渍。 </w:t>
            </w:r>
          </w:p>
        </w:tc>
        <w:tc>
          <w:tcPr>
            <w:tcW w:w="1749" w:type="dxa"/>
            <w:vMerge w:val="continue"/>
            <w:tcBorders>
              <w:top w:val="nil"/>
              <w:left w:val="nil"/>
              <w:bottom w:val="single" w:color="000000" w:sz="4" w:space="0"/>
              <w:right w:val="single" w:color="000000" w:sz="4" w:space="0"/>
            </w:tcBorders>
            <w:noWrap w:val="0"/>
            <w:vAlign w:val="center"/>
          </w:tcPr>
          <w:p w14:paraId="6A17B2E5">
            <w:pPr>
              <w:widowControl/>
              <w:jc w:val="left"/>
              <w:rPr>
                <w:rFonts w:hint="eastAsia" w:ascii="仿宋_GB2312" w:hAnsi="仿宋_GB2312" w:eastAsia="仿宋_GB2312" w:cs="仿宋_GB2312"/>
                <w:color w:val="auto"/>
                <w:sz w:val="32"/>
                <w:szCs w:val="32"/>
              </w:rPr>
            </w:pPr>
          </w:p>
        </w:tc>
        <w:tc>
          <w:tcPr>
            <w:tcW w:w="1026" w:type="dxa"/>
            <w:tcBorders>
              <w:top w:val="single" w:color="000000" w:sz="4" w:space="0"/>
              <w:left w:val="nil"/>
              <w:bottom w:val="single" w:color="000000" w:sz="4" w:space="0"/>
              <w:right w:val="single" w:color="000000" w:sz="4" w:space="0"/>
            </w:tcBorders>
            <w:noWrap w:val="0"/>
            <w:vAlign w:val="center"/>
          </w:tcPr>
          <w:p w14:paraId="4E49B327">
            <w:pPr>
              <w:spacing w:line="360" w:lineRule="exact"/>
              <w:rPr>
                <w:rFonts w:hint="eastAsia" w:ascii="仿宋_GB2312" w:hAnsi="仿宋_GB2312" w:eastAsia="仿宋_GB2312" w:cs="仿宋_GB2312"/>
                <w:color w:val="auto"/>
                <w:sz w:val="32"/>
                <w:szCs w:val="32"/>
              </w:rPr>
            </w:pPr>
          </w:p>
        </w:tc>
        <w:tc>
          <w:tcPr>
            <w:tcW w:w="993" w:type="dxa"/>
            <w:tcBorders>
              <w:top w:val="single" w:color="000000" w:sz="4" w:space="0"/>
              <w:left w:val="nil"/>
              <w:bottom w:val="single" w:color="000000" w:sz="4" w:space="0"/>
              <w:right w:val="single" w:color="000000" w:sz="4" w:space="0"/>
            </w:tcBorders>
            <w:noWrap w:val="0"/>
            <w:vAlign w:val="center"/>
          </w:tcPr>
          <w:p w14:paraId="35EA91F6">
            <w:pPr>
              <w:spacing w:line="360" w:lineRule="exact"/>
              <w:rPr>
                <w:rFonts w:hint="eastAsia" w:ascii="仿宋_GB2312" w:hAnsi="仿宋_GB2312" w:eastAsia="仿宋_GB2312" w:cs="仿宋_GB2312"/>
                <w:color w:val="auto"/>
                <w:sz w:val="32"/>
                <w:szCs w:val="32"/>
              </w:rPr>
            </w:pPr>
          </w:p>
        </w:tc>
      </w:tr>
      <w:tr w14:paraId="5867EE7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44" w:hRule="atLeast"/>
        </w:trPr>
        <w:tc>
          <w:tcPr>
            <w:tcW w:w="975" w:type="dxa"/>
            <w:vMerge w:val="continue"/>
            <w:tcBorders>
              <w:top w:val="nil"/>
              <w:left w:val="single" w:color="000000" w:sz="4" w:space="0"/>
              <w:bottom w:val="single" w:color="000000" w:sz="4" w:space="0"/>
              <w:right w:val="single" w:color="000000" w:sz="4" w:space="0"/>
            </w:tcBorders>
            <w:noWrap w:val="0"/>
            <w:vAlign w:val="center"/>
          </w:tcPr>
          <w:p w14:paraId="623F937C">
            <w:pPr>
              <w:widowControl/>
              <w:jc w:val="left"/>
              <w:rPr>
                <w:rFonts w:hint="eastAsia" w:ascii="仿宋_GB2312" w:hAnsi="仿宋_GB2312" w:eastAsia="仿宋_GB2312" w:cs="仿宋_GB2312"/>
                <w:color w:val="auto"/>
                <w:sz w:val="32"/>
                <w:szCs w:val="32"/>
              </w:rPr>
            </w:pPr>
          </w:p>
        </w:tc>
        <w:tc>
          <w:tcPr>
            <w:tcW w:w="4819" w:type="dxa"/>
            <w:tcBorders>
              <w:top w:val="single" w:color="000000" w:sz="4" w:space="0"/>
              <w:left w:val="nil"/>
              <w:bottom w:val="single" w:color="000000" w:sz="4" w:space="0"/>
              <w:right w:val="single" w:color="000000" w:sz="4" w:space="0"/>
            </w:tcBorders>
            <w:noWrap w:val="0"/>
            <w:vAlign w:val="center"/>
          </w:tcPr>
          <w:p w14:paraId="33E64FD5">
            <w:pPr>
              <w:spacing w:line="360" w:lineRule="atLeast"/>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6、食堂人员个人服装整洁， 无不良卫生习惯，且每半年提供有效健康证。</w:t>
            </w:r>
          </w:p>
        </w:tc>
        <w:tc>
          <w:tcPr>
            <w:tcW w:w="1749" w:type="dxa"/>
            <w:vMerge w:val="continue"/>
            <w:tcBorders>
              <w:top w:val="nil"/>
              <w:left w:val="nil"/>
              <w:bottom w:val="single" w:color="000000" w:sz="4" w:space="0"/>
              <w:right w:val="single" w:color="000000" w:sz="4" w:space="0"/>
            </w:tcBorders>
            <w:noWrap w:val="0"/>
            <w:vAlign w:val="center"/>
          </w:tcPr>
          <w:p w14:paraId="01F1020A">
            <w:pPr>
              <w:widowControl/>
              <w:jc w:val="left"/>
              <w:rPr>
                <w:rFonts w:hint="eastAsia" w:ascii="仿宋_GB2312" w:hAnsi="仿宋_GB2312" w:eastAsia="仿宋_GB2312" w:cs="仿宋_GB2312"/>
                <w:color w:val="auto"/>
                <w:sz w:val="32"/>
                <w:szCs w:val="32"/>
              </w:rPr>
            </w:pPr>
          </w:p>
        </w:tc>
        <w:tc>
          <w:tcPr>
            <w:tcW w:w="1026" w:type="dxa"/>
            <w:tcBorders>
              <w:top w:val="single" w:color="000000" w:sz="4" w:space="0"/>
              <w:left w:val="nil"/>
              <w:bottom w:val="single" w:color="000000" w:sz="4" w:space="0"/>
              <w:right w:val="single" w:color="000000" w:sz="4" w:space="0"/>
            </w:tcBorders>
            <w:noWrap w:val="0"/>
            <w:vAlign w:val="center"/>
          </w:tcPr>
          <w:p w14:paraId="416C483B">
            <w:pPr>
              <w:spacing w:line="360" w:lineRule="exact"/>
              <w:rPr>
                <w:rFonts w:hint="eastAsia" w:ascii="仿宋_GB2312" w:hAnsi="仿宋_GB2312" w:eastAsia="仿宋_GB2312" w:cs="仿宋_GB2312"/>
                <w:color w:val="auto"/>
                <w:sz w:val="32"/>
                <w:szCs w:val="32"/>
              </w:rPr>
            </w:pPr>
          </w:p>
        </w:tc>
        <w:tc>
          <w:tcPr>
            <w:tcW w:w="993" w:type="dxa"/>
            <w:tcBorders>
              <w:top w:val="single" w:color="000000" w:sz="4" w:space="0"/>
              <w:left w:val="nil"/>
              <w:bottom w:val="single" w:color="000000" w:sz="4" w:space="0"/>
              <w:right w:val="single" w:color="000000" w:sz="4" w:space="0"/>
            </w:tcBorders>
            <w:noWrap w:val="0"/>
            <w:vAlign w:val="center"/>
          </w:tcPr>
          <w:p w14:paraId="08786947">
            <w:pPr>
              <w:spacing w:line="360" w:lineRule="exact"/>
              <w:rPr>
                <w:rFonts w:hint="eastAsia" w:ascii="仿宋_GB2312" w:hAnsi="仿宋_GB2312" w:eastAsia="仿宋_GB2312" w:cs="仿宋_GB2312"/>
                <w:color w:val="auto"/>
                <w:sz w:val="32"/>
                <w:szCs w:val="32"/>
              </w:rPr>
            </w:pPr>
          </w:p>
        </w:tc>
      </w:tr>
      <w:tr w14:paraId="5E8BF08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44" w:hRule="atLeast"/>
        </w:trPr>
        <w:tc>
          <w:tcPr>
            <w:tcW w:w="975" w:type="dxa"/>
            <w:vMerge w:val="continue"/>
            <w:tcBorders>
              <w:top w:val="nil"/>
              <w:left w:val="single" w:color="000000" w:sz="4" w:space="0"/>
              <w:bottom w:val="single" w:color="000000" w:sz="4" w:space="0"/>
              <w:right w:val="single" w:color="000000" w:sz="4" w:space="0"/>
            </w:tcBorders>
            <w:noWrap w:val="0"/>
            <w:vAlign w:val="center"/>
          </w:tcPr>
          <w:p w14:paraId="3E61735C">
            <w:pPr>
              <w:widowControl/>
              <w:jc w:val="left"/>
              <w:rPr>
                <w:rFonts w:hint="eastAsia" w:ascii="仿宋_GB2312" w:hAnsi="仿宋_GB2312" w:eastAsia="仿宋_GB2312" w:cs="仿宋_GB2312"/>
                <w:color w:val="auto"/>
                <w:sz w:val="32"/>
                <w:szCs w:val="32"/>
              </w:rPr>
            </w:pPr>
          </w:p>
        </w:tc>
        <w:tc>
          <w:tcPr>
            <w:tcW w:w="4819" w:type="dxa"/>
            <w:tcBorders>
              <w:top w:val="single" w:color="000000" w:sz="4" w:space="0"/>
              <w:left w:val="nil"/>
              <w:bottom w:val="single" w:color="000000" w:sz="4" w:space="0"/>
              <w:right w:val="single" w:color="000000" w:sz="4" w:space="0"/>
            </w:tcBorders>
            <w:noWrap w:val="0"/>
            <w:vAlign w:val="center"/>
          </w:tcPr>
          <w:p w14:paraId="76F37F54">
            <w:pPr>
              <w:spacing w:line="360" w:lineRule="atLeast"/>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7、定期疏通排水沟和管网，确保畅通。</w:t>
            </w:r>
          </w:p>
        </w:tc>
        <w:tc>
          <w:tcPr>
            <w:tcW w:w="1749" w:type="dxa"/>
            <w:vMerge w:val="continue"/>
            <w:tcBorders>
              <w:top w:val="nil"/>
              <w:left w:val="nil"/>
              <w:bottom w:val="single" w:color="000000" w:sz="4" w:space="0"/>
              <w:right w:val="single" w:color="000000" w:sz="4" w:space="0"/>
            </w:tcBorders>
            <w:noWrap w:val="0"/>
            <w:vAlign w:val="center"/>
          </w:tcPr>
          <w:p w14:paraId="78B97133">
            <w:pPr>
              <w:widowControl/>
              <w:jc w:val="left"/>
              <w:rPr>
                <w:rFonts w:hint="eastAsia" w:ascii="仿宋_GB2312" w:hAnsi="仿宋_GB2312" w:eastAsia="仿宋_GB2312" w:cs="仿宋_GB2312"/>
                <w:color w:val="auto"/>
                <w:sz w:val="32"/>
                <w:szCs w:val="32"/>
              </w:rPr>
            </w:pPr>
          </w:p>
        </w:tc>
        <w:tc>
          <w:tcPr>
            <w:tcW w:w="1026" w:type="dxa"/>
            <w:tcBorders>
              <w:top w:val="single" w:color="000000" w:sz="4" w:space="0"/>
              <w:left w:val="nil"/>
              <w:bottom w:val="single" w:color="000000" w:sz="4" w:space="0"/>
              <w:right w:val="single" w:color="000000" w:sz="4" w:space="0"/>
            </w:tcBorders>
            <w:noWrap w:val="0"/>
            <w:vAlign w:val="center"/>
          </w:tcPr>
          <w:p w14:paraId="302ED29E">
            <w:pPr>
              <w:spacing w:line="360" w:lineRule="exact"/>
              <w:rPr>
                <w:rFonts w:hint="eastAsia" w:ascii="仿宋_GB2312" w:hAnsi="仿宋_GB2312" w:eastAsia="仿宋_GB2312" w:cs="仿宋_GB2312"/>
                <w:color w:val="auto"/>
                <w:sz w:val="32"/>
                <w:szCs w:val="32"/>
              </w:rPr>
            </w:pPr>
          </w:p>
        </w:tc>
        <w:tc>
          <w:tcPr>
            <w:tcW w:w="993" w:type="dxa"/>
            <w:tcBorders>
              <w:top w:val="single" w:color="000000" w:sz="4" w:space="0"/>
              <w:left w:val="nil"/>
              <w:bottom w:val="single" w:color="000000" w:sz="4" w:space="0"/>
              <w:right w:val="single" w:color="000000" w:sz="4" w:space="0"/>
            </w:tcBorders>
            <w:noWrap w:val="0"/>
            <w:vAlign w:val="center"/>
          </w:tcPr>
          <w:p w14:paraId="3D28D85C">
            <w:pPr>
              <w:spacing w:line="360" w:lineRule="exact"/>
              <w:rPr>
                <w:rFonts w:hint="eastAsia" w:ascii="仿宋_GB2312" w:hAnsi="仿宋_GB2312" w:eastAsia="仿宋_GB2312" w:cs="仿宋_GB2312"/>
                <w:color w:val="auto"/>
                <w:sz w:val="32"/>
                <w:szCs w:val="32"/>
              </w:rPr>
            </w:pPr>
          </w:p>
        </w:tc>
      </w:tr>
      <w:tr w14:paraId="0EDE84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44" w:hRule="atLeast"/>
        </w:trPr>
        <w:tc>
          <w:tcPr>
            <w:tcW w:w="975" w:type="dxa"/>
            <w:vMerge w:val="continue"/>
            <w:tcBorders>
              <w:top w:val="nil"/>
              <w:left w:val="single" w:color="000000" w:sz="4" w:space="0"/>
              <w:bottom w:val="single" w:color="000000" w:sz="4" w:space="0"/>
              <w:right w:val="single" w:color="000000" w:sz="4" w:space="0"/>
            </w:tcBorders>
            <w:noWrap w:val="0"/>
            <w:vAlign w:val="center"/>
          </w:tcPr>
          <w:p w14:paraId="72F166AA">
            <w:pPr>
              <w:widowControl/>
              <w:jc w:val="left"/>
              <w:rPr>
                <w:rFonts w:hint="eastAsia" w:ascii="仿宋_GB2312" w:hAnsi="仿宋_GB2312" w:eastAsia="仿宋_GB2312" w:cs="仿宋_GB2312"/>
                <w:color w:val="auto"/>
                <w:sz w:val="32"/>
                <w:szCs w:val="32"/>
              </w:rPr>
            </w:pPr>
          </w:p>
        </w:tc>
        <w:tc>
          <w:tcPr>
            <w:tcW w:w="4819" w:type="dxa"/>
            <w:tcBorders>
              <w:top w:val="single" w:color="000000" w:sz="4" w:space="0"/>
              <w:left w:val="nil"/>
              <w:bottom w:val="single" w:color="000000" w:sz="4" w:space="0"/>
              <w:right w:val="single" w:color="000000" w:sz="4" w:space="0"/>
            </w:tcBorders>
            <w:noWrap w:val="0"/>
            <w:vAlign w:val="center"/>
          </w:tcPr>
          <w:p w14:paraId="1E990164">
            <w:pPr>
              <w:spacing w:line="360" w:lineRule="atLeast"/>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8、餐前必须做好餐厅清洁工作，桌面光洁，地面洁净，餐中随时保洁，餐后垃圾及时清除。保持地面干燥，防止人员掉倒。</w:t>
            </w:r>
          </w:p>
        </w:tc>
        <w:tc>
          <w:tcPr>
            <w:tcW w:w="1749" w:type="dxa"/>
            <w:vMerge w:val="continue"/>
            <w:tcBorders>
              <w:top w:val="nil"/>
              <w:left w:val="nil"/>
              <w:bottom w:val="single" w:color="000000" w:sz="4" w:space="0"/>
              <w:right w:val="single" w:color="000000" w:sz="4" w:space="0"/>
            </w:tcBorders>
            <w:noWrap w:val="0"/>
            <w:vAlign w:val="center"/>
          </w:tcPr>
          <w:p w14:paraId="7939AAD5">
            <w:pPr>
              <w:widowControl/>
              <w:jc w:val="left"/>
              <w:rPr>
                <w:rFonts w:hint="eastAsia" w:ascii="仿宋_GB2312" w:hAnsi="仿宋_GB2312" w:eastAsia="仿宋_GB2312" w:cs="仿宋_GB2312"/>
                <w:color w:val="auto"/>
                <w:sz w:val="32"/>
                <w:szCs w:val="32"/>
              </w:rPr>
            </w:pPr>
          </w:p>
        </w:tc>
        <w:tc>
          <w:tcPr>
            <w:tcW w:w="1026" w:type="dxa"/>
            <w:tcBorders>
              <w:top w:val="single" w:color="000000" w:sz="4" w:space="0"/>
              <w:left w:val="nil"/>
              <w:bottom w:val="single" w:color="000000" w:sz="4" w:space="0"/>
              <w:right w:val="single" w:color="000000" w:sz="4" w:space="0"/>
            </w:tcBorders>
            <w:noWrap w:val="0"/>
            <w:vAlign w:val="center"/>
          </w:tcPr>
          <w:p w14:paraId="309AD47C">
            <w:pPr>
              <w:spacing w:line="360" w:lineRule="exact"/>
              <w:rPr>
                <w:rFonts w:hint="eastAsia" w:ascii="仿宋_GB2312" w:hAnsi="仿宋_GB2312" w:eastAsia="仿宋_GB2312" w:cs="仿宋_GB2312"/>
                <w:color w:val="auto"/>
                <w:sz w:val="32"/>
                <w:szCs w:val="32"/>
              </w:rPr>
            </w:pPr>
          </w:p>
        </w:tc>
        <w:tc>
          <w:tcPr>
            <w:tcW w:w="993" w:type="dxa"/>
            <w:tcBorders>
              <w:top w:val="single" w:color="000000" w:sz="4" w:space="0"/>
              <w:left w:val="nil"/>
              <w:bottom w:val="single" w:color="000000" w:sz="4" w:space="0"/>
              <w:right w:val="single" w:color="000000" w:sz="4" w:space="0"/>
            </w:tcBorders>
            <w:noWrap w:val="0"/>
            <w:vAlign w:val="center"/>
          </w:tcPr>
          <w:p w14:paraId="2DBF14F0">
            <w:pPr>
              <w:spacing w:line="360" w:lineRule="exact"/>
              <w:rPr>
                <w:rFonts w:hint="eastAsia" w:ascii="仿宋_GB2312" w:hAnsi="仿宋_GB2312" w:eastAsia="仿宋_GB2312" w:cs="仿宋_GB2312"/>
                <w:color w:val="auto"/>
                <w:sz w:val="32"/>
                <w:szCs w:val="32"/>
              </w:rPr>
            </w:pPr>
          </w:p>
        </w:tc>
      </w:tr>
      <w:tr w14:paraId="224581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44" w:hRule="atLeast"/>
        </w:trPr>
        <w:tc>
          <w:tcPr>
            <w:tcW w:w="975" w:type="dxa"/>
            <w:vMerge w:val="continue"/>
            <w:tcBorders>
              <w:top w:val="nil"/>
              <w:left w:val="single" w:color="000000" w:sz="4" w:space="0"/>
              <w:bottom w:val="single" w:color="000000" w:sz="4" w:space="0"/>
              <w:right w:val="single" w:color="000000" w:sz="4" w:space="0"/>
            </w:tcBorders>
            <w:noWrap w:val="0"/>
            <w:vAlign w:val="center"/>
          </w:tcPr>
          <w:p w14:paraId="29AE7333">
            <w:pPr>
              <w:widowControl/>
              <w:jc w:val="left"/>
              <w:rPr>
                <w:rFonts w:hint="eastAsia" w:ascii="仿宋_GB2312" w:hAnsi="仿宋_GB2312" w:eastAsia="仿宋_GB2312" w:cs="仿宋_GB2312"/>
                <w:color w:val="auto"/>
                <w:sz w:val="32"/>
                <w:szCs w:val="32"/>
              </w:rPr>
            </w:pPr>
          </w:p>
        </w:tc>
        <w:tc>
          <w:tcPr>
            <w:tcW w:w="4819" w:type="dxa"/>
            <w:tcBorders>
              <w:top w:val="single" w:color="000000" w:sz="4" w:space="0"/>
              <w:left w:val="nil"/>
              <w:bottom w:val="single" w:color="000000" w:sz="4" w:space="0"/>
              <w:right w:val="single" w:color="000000" w:sz="4" w:space="0"/>
            </w:tcBorders>
            <w:noWrap w:val="0"/>
            <w:vAlign w:val="center"/>
          </w:tcPr>
          <w:p w14:paraId="47A862D3">
            <w:pPr>
              <w:spacing w:line="360" w:lineRule="atLeast"/>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9、每次操作完毕彻底清扫，每周大扫除一次，确保地面、墙壁、顶棚、炉灶、容器用具、案板工具等光亮、干燥、整齐卫生。通风、排烟、排水良好。</w:t>
            </w:r>
          </w:p>
        </w:tc>
        <w:tc>
          <w:tcPr>
            <w:tcW w:w="1749" w:type="dxa"/>
            <w:vMerge w:val="continue"/>
            <w:tcBorders>
              <w:top w:val="nil"/>
              <w:left w:val="nil"/>
              <w:bottom w:val="single" w:color="000000" w:sz="4" w:space="0"/>
              <w:right w:val="single" w:color="000000" w:sz="4" w:space="0"/>
            </w:tcBorders>
            <w:noWrap w:val="0"/>
            <w:vAlign w:val="center"/>
          </w:tcPr>
          <w:p w14:paraId="1700FBBE">
            <w:pPr>
              <w:widowControl/>
              <w:jc w:val="left"/>
              <w:rPr>
                <w:rFonts w:hint="eastAsia" w:ascii="仿宋_GB2312" w:hAnsi="仿宋_GB2312" w:eastAsia="仿宋_GB2312" w:cs="仿宋_GB2312"/>
                <w:color w:val="auto"/>
                <w:sz w:val="32"/>
                <w:szCs w:val="32"/>
              </w:rPr>
            </w:pPr>
          </w:p>
        </w:tc>
        <w:tc>
          <w:tcPr>
            <w:tcW w:w="1026" w:type="dxa"/>
            <w:tcBorders>
              <w:top w:val="single" w:color="000000" w:sz="4" w:space="0"/>
              <w:left w:val="nil"/>
              <w:bottom w:val="single" w:color="000000" w:sz="4" w:space="0"/>
              <w:right w:val="single" w:color="000000" w:sz="4" w:space="0"/>
            </w:tcBorders>
            <w:noWrap w:val="0"/>
            <w:vAlign w:val="center"/>
          </w:tcPr>
          <w:p w14:paraId="097D48FA">
            <w:pPr>
              <w:spacing w:line="360" w:lineRule="exact"/>
              <w:rPr>
                <w:rFonts w:hint="eastAsia" w:ascii="仿宋_GB2312" w:hAnsi="仿宋_GB2312" w:eastAsia="仿宋_GB2312" w:cs="仿宋_GB2312"/>
                <w:color w:val="auto"/>
                <w:sz w:val="32"/>
                <w:szCs w:val="32"/>
              </w:rPr>
            </w:pPr>
          </w:p>
        </w:tc>
        <w:tc>
          <w:tcPr>
            <w:tcW w:w="993" w:type="dxa"/>
            <w:tcBorders>
              <w:top w:val="single" w:color="000000" w:sz="4" w:space="0"/>
              <w:left w:val="nil"/>
              <w:bottom w:val="single" w:color="000000" w:sz="4" w:space="0"/>
              <w:right w:val="single" w:color="000000" w:sz="4" w:space="0"/>
            </w:tcBorders>
            <w:noWrap w:val="0"/>
            <w:vAlign w:val="center"/>
          </w:tcPr>
          <w:p w14:paraId="3184EA38">
            <w:pPr>
              <w:spacing w:line="360" w:lineRule="exact"/>
              <w:rPr>
                <w:rFonts w:hint="eastAsia" w:ascii="仿宋_GB2312" w:hAnsi="仿宋_GB2312" w:eastAsia="仿宋_GB2312" w:cs="仿宋_GB2312"/>
                <w:color w:val="auto"/>
                <w:sz w:val="32"/>
                <w:szCs w:val="32"/>
              </w:rPr>
            </w:pPr>
          </w:p>
        </w:tc>
      </w:tr>
      <w:tr w14:paraId="30E84C9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44" w:hRule="atLeast"/>
        </w:trPr>
        <w:tc>
          <w:tcPr>
            <w:tcW w:w="975" w:type="dxa"/>
            <w:vMerge w:val="continue"/>
            <w:tcBorders>
              <w:top w:val="nil"/>
              <w:left w:val="single" w:color="000000" w:sz="4" w:space="0"/>
              <w:bottom w:val="single" w:color="000000" w:sz="4" w:space="0"/>
              <w:right w:val="single" w:color="000000" w:sz="4" w:space="0"/>
            </w:tcBorders>
            <w:noWrap w:val="0"/>
            <w:vAlign w:val="center"/>
          </w:tcPr>
          <w:p w14:paraId="6482D312">
            <w:pPr>
              <w:widowControl/>
              <w:jc w:val="left"/>
              <w:rPr>
                <w:rFonts w:hint="eastAsia" w:ascii="仿宋_GB2312" w:hAnsi="仿宋_GB2312" w:eastAsia="仿宋_GB2312" w:cs="仿宋_GB2312"/>
                <w:color w:val="auto"/>
                <w:sz w:val="32"/>
                <w:szCs w:val="32"/>
              </w:rPr>
            </w:pPr>
          </w:p>
        </w:tc>
        <w:tc>
          <w:tcPr>
            <w:tcW w:w="4819" w:type="dxa"/>
            <w:tcBorders>
              <w:top w:val="single" w:color="000000" w:sz="4" w:space="0"/>
              <w:left w:val="nil"/>
              <w:bottom w:val="single" w:color="000000" w:sz="4" w:space="0"/>
              <w:right w:val="single" w:color="000000" w:sz="4" w:space="0"/>
            </w:tcBorders>
            <w:noWrap w:val="0"/>
            <w:vAlign w:val="center"/>
          </w:tcPr>
          <w:p w14:paraId="02F94DBB">
            <w:pPr>
              <w:spacing w:line="360" w:lineRule="atLeast"/>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10、加强员工安全教育，食堂工作人员衣服整洁，按规定戴帽子、口罩、手套、工号牌等。</w:t>
            </w:r>
          </w:p>
        </w:tc>
        <w:tc>
          <w:tcPr>
            <w:tcW w:w="1749" w:type="dxa"/>
            <w:vMerge w:val="continue"/>
            <w:tcBorders>
              <w:top w:val="nil"/>
              <w:left w:val="nil"/>
              <w:bottom w:val="single" w:color="000000" w:sz="4" w:space="0"/>
              <w:right w:val="single" w:color="000000" w:sz="4" w:space="0"/>
            </w:tcBorders>
            <w:noWrap w:val="0"/>
            <w:vAlign w:val="center"/>
          </w:tcPr>
          <w:p w14:paraId="5CD183BA">
            <w:pPr>
              <w:widowControl/>
              <w:jc w:val="left"/>
              <w:rPr>
                <w:rFonts w:hint="eastAsia" w:ascii="仿宋_GB2312" w:hAnsi="仿宋_GB2312" w:eastAsia="仿宋_GB2312" w:cs="仿宋_GB2312"/>
                <w:color w:val="auto"/>
                <w:sz w:val="32"/>
                <w:szCs w:val="32"/>
              </w:rPr>
            </w:pPr>
          </w:p>
        </w:tc>
        <w:tc>
          <w:tcPr>
            <w:tcW w:w="1026" w:type="dxa"/>
            <w:tcBorders>
              <w:top w:val="single" w:color="000000" w:sz="4" w:space="0"/>
              <w:left w:val="nil"/>
              <w:bottom w:val="single" w:color="000000" w:sz="4" w:space="0"/>
              <w:right w:val="single" w:color="000000" w:sz="4" w:space="0"/>
            </w:tcBorders>
            <w:noWrap w:val="0"/>
            <w:vAlign w:val="center"/>
          </w:tcPr>
          <w:p w14:paraId="7F277EC2">
            <w:pPr>
              <w:spacing w:line="360" w:lineRule="exact"/>
              <w:rPr>
                <w:rFonts w:hint="eastAsia" w:ascii="仿宋_GB2312" w:hAnsi="仿宋_GB2312" w:eastAsia="仿宋_GB2312" w:cs="仿宋_GB2312"/>
                <w:color w:val="auto"/>
                <w:sz w:val="32"/>
                <w:szCs w:val="32"/>
              </w:rPr>
            </w:pPr>
          </w:p>
        </w:tc>
        <w:tc>
          <w:tcPr>
            <w:tcW w:w="993" w:type="dxa"/>
            <w:tcBorders>
              <w:top w:val="single" w:color="000000" w:sz="4" w:space="0"/>
              <w:left w:val="nil"/>
              <w:bottom w:val="single" w:color="000000" w:sz="4" w:space="0"/>
              <w:right w:val="single" w:color="000000" w:sz="4" w:space="0"/>
            </w:tcBorders>
            <w:noWrap w:val="0"/>
            <w:vAlign w:val="center"/>
          </w:tcPr>
          <w:p w14:paraId="2A5BE684">
            <w:pPr>
              <w:spacing w:line="360" w:lineRule="exact"/>
              <w:rPr>
                <w:rFonts w:hint="eastAsia" w:ascii="仿宋_GB2312" w:hAnsi="仿宋_GB2312" w:eastAsia="仿宋_GB2312" w:cs="仿宋_GB2312"/>
                <w:color w:val="auto"/>
                <w:sz w:val="32"/>
                <w:szCs w:val="32"/>
              </w:rPr>
            </w:pPr>
          </w:p>
        </w:tc>
      </w:tr>
      <w:tr w14:paraId="615545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20" w:hRule="atLeast"/>
        </w:trPr>
        <w:tc>
          <w:tcPr>
            <w:tcW w:w="975" w:type="dxa"/>
            <w:vMerge w:val="restart"/>
            <w:tcBorders>
              <w:top w:val="nil"/>
              <w:left w:val="single" w:color="000000" w:sz="4" w:space="0"/>
              <w:bottom w:val="single" w:color="000000" w:sz="4" w:space="0"/>
              <w:right w:val="single" w:color="000000" w:sz="4" w:space="0"/>
            </w:tcBorders>
            <w:noWrap w:val="0"/>
            <w:vAlign w:val="center"/>
          </w:tcPr>
          <w:p w14:paraId="68669E3A">
            <w:pPr>
              <w:spacing w:line="360" w:lineRule="exact"/>
              <w:jc w:val="center"/>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窗口服务及送餐服务</w:t>
            </w:r>
          </w:p>
        </w:tc>
        <w:tc>
          <w:tcPr>
            <w:tcW w:w="4819" w:type="dxa"/>
            <w:tcBorders>
              <w:top w:val="single" w:color="000000" w:sz="4" w:space="0"/>
              <w:left w:val="nil"/>
              <w:bottom w:val="single" w:color="000000" w:sz="4" w:space="0"/>
              <w:right w:val="single" w:color="000000" w:sz="4" w:space="0"/>
            </w:tcBorders>
            <w:noWrap w:val="0"/>
            <w:vAlign w:val="top"/>
          </w:tcPr>
          <w:p w14:paraId="7D113F7B">
            <w:pPr>
              <w:spacing w:line="360" w:lineRule="atLeast"/>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1、窗口服务态度热情，有问必答；高效出餐，不得出现与顾客争吵的情况。</w:t>
            </w:r>
          </w:p>
        </w:tc>
        <w:tc>
          <w:tcPr>
            <w:tcW w:w="1749" w:type="dxa"/>
            <w:vMerge w:val="restart"/>
            <w:tcBorders>
              <w:top w:val="nil"/>
              <w:left w:val="nil"/>
              <w:bottom w:val="single" w:color="000000" w:sz="4" w:space="0"/>
              <w:right w:val="single" w:color="000000" w:sz="4" w:space="0"/>
            </w:tcBorders>
            <w:noWrap w:val="0"/>
            <w:vAlign w:val="center"/>
          </w:tcPr>
          <w:p w14:paraId="4CBC853D">
            <w:pPr>
              <w:spacing w:line="360" w:lineRule="exact"/>
              <w:jc w:val="center"/>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每出现1项扣4分</w:t>
            </w:r>
          </w:p>
        </w:tc>
        <w:tc>
          <w:tcPr>
            <w:tcW w:w="1026" w:type="dxa"/>
            <w:tcBorders>
              <w:top w:val="single" w:color="000000" w:sz="4" w:space="0"/>
              <w:left w:val="nil"/>
              <w:bottom w:val="single" w:color="000000" w:sz="4" w:space="0"/>
              <w:right w:val="single" w:color="000000" w:sz="4" w:space="0"/>
            </w:tcBorders>
            <w:noWrap w:val="0"/>
            <w:vAlign w:val="top"/>
          </w:tcPr>
          <w:p w14:paraId="69719082">
            <w:pPr>
              <w:spacing w:line="360" w:lineRule="exact"/>
              <w:jc w:val="center"/>
              <w:rPr>
                <w:rFonts w:hint="eastAsia" w:ascii="仿宋_GB2312" w:hAnsi="仿宋_GB2312" w:eastAsia="仿宋_GB2312" w:cs="仿宋_GB2312"/>
                <w:color w:val="auto"/>
                <w:sz w:val="32"/>
                <w:szCs w:val="32"/>
              </w:rPr>
            </w:pPr>
          </w:p>
        </w:tc>
        <w:tc>
          <w:tcPr>
            <w:tcW w:w="993" w:type="dxa"/>
            <w:tcBorders>
              <w:top w:val="single" w:color="000000" w:sz="4" w:space="0"/>
              <w:left w:val="nil"/>
              <w:bottom w:val="single" w:color="000000" w:sz="4" w:space="0"/>
              <w:right w:val="single" w:color="000000" w:sz="4" w:space="0"/>
            </w:tcBorders>
            <w:noWrap w:val="0"/>
            <w:vAlign w:val="top"/>
          </w:tcPr>
          <w:p w14:paraId="6BE3DEEF">
            <w:pPr>
              <w:spacing w:line="360" w:lineRule="exact"/>
              <w:jc w:val="center"/>
              <w:rPr>
                <w:rFonts w:hint="eastAsia" w:ascii="仿宋_GB2312" w:hAnsi="仿宋_GB2312" w:eastAsia="仿宋_GB2312" w:cs="仿宋_GB2312"/>
                <w:color w:val="auto"/>
                <w:sz w:val="32"/>
                <w:szCs w:val="32"/>
              </w:rPr>
            </w:pPr>
          </w:p>
        </w:tc>
      </w:tr>
      <w:tr w14:paraId="7DAC45E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3" w:hRule="atLeast"/>
        </w:trPr>
        <w:tc>
          <w:tcPr>
            <w:tcW w:w="975" w:type="dxa"/>
            <w:vMerge w:val="continue"/>
            <w:tcBorders>
              <w:top w:val="nil"/>
              <w:left w:val="single" w:color="000000" w:sz="4" w:space="0"/>
              <w:bottom w:val="single" w:color="000000" w:sz="4" w:space="0"/>
              <w:right w:val="single" w:color="000000" w:sz="4" w:space="0"/>
            </w:tcBorders>
            <w:noWrap w:val="0"/>
            <w:vAlign w:val="center"/>
          </w:tcPr>
          <w:p w14:paraId="6FCC2EE7">
            <w:pPr>
              <w:widowControl/>
              <w:jc w:val="left"/>
              <w:rPr>
                <w:rFonts w:hint="eastAsia" w:ascii="仿宋_GB2312" w:hAnsi="仿宋_GB2312" w:eastAsia="仿宋_GB2312" w:cs="仿宋_GB2312"/>
                <w:color w:val="auto"/>
                <w:sz w:val="32"/>
                <w:szCs w:val="32"/>
              </w:rPr>
            </w:pPr>
          </w:p>
        </w:tc>
        <w:tc>
          <w:tcPr>
            <w:tcW w:w="4819" w:type="dxa"/>
            <w:tcBorders>
              <w:top w:val="single" w:color="000000" w:sz="4" w:space="0"/>
              <w:left w:val="nil"/>
              <w:bottom w:val="single" w:color="000000" w:sz="4" w:space="0"/>
              <w:right w:val="single" w:color="000000" w:sz="4" w:space="0"/>
            </w:tcBorders>
            <w:noWrap w:val="0"/>
            <w:vAlign w:val="top"/>
          </w:tcPr>
          <w:p w14:paraId="4EBD2102">
            <w:pPr>
              <w:spacing w:line="360" w:lineRule="atLeast"/>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2、接订餐通知后在规定的时间内</w:t>
            </w:r>
            <w:r>
              <w:rPr>
                <w:rFonts w:hint="eastAsia" w:ascii="仿宋_GB2312" w:hAnsi="仿宋_GB2312" w:eastAsia="仿宋_GB2312" w:cs="仿宋_GB2312"/>
                <w:color w:val="auto"/>
                <w:sz w:val="32"/>
                <w:szCs w:val="32"/>
                <w:lang w:val="en-US" w:eastAsia="zh-CN"/>
              </w:rPr>
              <w:t>送餐</w:t>
            </w:r>
            <w:r>
              <w:rPr>
                <w:rFonts w:hint="eastAsia" w:ascii="仿宋_GB2312" w:hAnsi="仿宋_GB2312" w:eastAsia="仿宋_GB2312" w:cs="仿宋_GB2312"/>
                <w:color w:val="auto"/>
                <w:sz w:val="32"/>
                <w:szCs w:val="32"/>
              </w:rPr>
              <w:t>。</w:t>
            </w:r>
          </w:p>
        </w:tc>
        <w:tc>
          <w:tcPr>
            <w:tcW w:w="1749" w:type="dxa"/>
            <w:vMerge w:val="continue"/>
            <w:tcBorders>
              <w:top w:val="nil"/>
              <w:left w:val="nil"/>
              <w:bottom w:val="single" w:color="000000" w:sz="4" w:space="0"/>
              <w:right w:val="single" w:color="000000" w:sz="4" w:space="0"/>
            </w:tcBorders>
            <w:noWrap w:val="0"/>
            <w:vAlign w:val="center"/>
          </w:tcPr>
          <w:p w14:paraId="07533D49">
            <w:pPr>
              <w:widowControl/>
              <w:jc w:val="left"/>
              <w:rPr>
                <w:rFonts w:hint="eastAsia" w:ascii="仿宋_GB2312" w:hAnsi="仿宋_GB2312" w:eastAsia="仿宋_GB2312" w:cs="仿宋_GB2312"/>
                <w:color w:val="auto"/>
                <w:sz w:val="32"/>
                <w:szCs w:val="32"/>
              </w:rPr>
            </w:pPr>
          </w:p>
        </w:tc>
        <w:tc>
          <w:tcPr>
            <w:tcW w:w="1026" w:type="dxa"/>
            <w:tcBorders>
              <w:top w:val="single" w:color="000000" w:sz="4" w:space="0"/>
              <w:left w:val="nil"/>
              <w:bottom w:val="single" w:color="000000" w:sz="4" w:space="0"/>
              <w:right w:val="single" w:color="000000" w:sz="4" w:space="0"/>
            </w:tcBorders>
            <w:noWrap w:val="0"/>
            <w:vAlign w:val="top"/>
          </w:tcPr>
          <w:p w14:paraId="6990B035">
            <w:pPr>
              <w:spacing w:line="360" w:lineRule="exact"/>
              <w:jc w:val="center"/>
              <w:rPr>
                <w:rFonts w:hint="eastAsia" w:ascii="仿宋_GB2312" w:hAnsi="仿宋_GB2312" w:eastAsia="仿宋_GB2312" w:cs="仿宋_GB2312"/>
                <w:color w:val="auto"/>
                <w:sz w:val="32"/>
                <w:szCs w:val="32"/>
              </w:rPr>
            </w:pPr>
          </w:p>
        </w:tc>
        <w:tc>
          <w:tcPr>
            <w:tcW w:w="993" w:type="dxa"/>
            <w:tcBorders>
              <w:top w:val="single" w:color="000000" w:sz="4" w:space="0"/>
              <w:left w:val="nil"/>
              <w:bottom w:val="single" w:color="000000" w:sz="4" w:space="0"/>
              <w:right w:val="single" w:color="000000" w:sz="4" w:space="0"/>
            </w:tcBorders>
            <w:noWrap w:val="0"/>
            <w:vAlign w:val="top"/>
          </w:tcPr>
          <w:p w14:paraId="62357A42">
            <w:pPr>
              <w:spacing w:line="360" w:lineRule="exact"/>
              <w:jc w:val="center"/>
              <w:rPr>
                <w:rFonts w:hint="eastAsia" w:ascii="仿宋_GB2312" w:hAnsi="仿宋_GB2312" w:eastAsia="仿宋_GB2312" w:cs="仿宋_GB2312"/>
                <w:color w:val="auto"/>
                <w:sz w:val="32"/>
                <w:szCs w:val="32"/>
              </w:rPr>
            </w:pPr>
          </w:p>
        </w:tc>
      </w:tr>
      <w:tr w14:paraId="599679A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3" w:hRule="atLeast"/>
        </w:trPr>
        <w:tc>
          <w:tcPr>
            <w:tcW w:w="975" w:type="dxa"/>
            <w:vMerge w:val="continue"/>
            <w:tcBorders>
              <w:top w:val="nil"/>
              <w:left w:val="single" w:color="000000" w:sz="4" w:space="0"/>
              <w:bottom w:val="single" w:color="000000" w:sz="4" w:space="0"/>
              <w:right w:val="single" w:color="000000" w:sz="4" w:space="0"/>
            </w:tcBorders>
            <w:noWrap w:val="0"/>
            <w:vAlign w:val="center"/>
          </w:tcPr>
          <w:p w14:paraId="2A61AB20">
            <w:pPr>
              <w:widowControl/>
              <w:jc w:val="left"/>
              <w:rPr>
                <w:rFonts w:hint="eastAsia" w:ascii="仿宋_GB2312" w:hAnsi="仿宋_GB2312" w:eastAsia="仿宋_GB2312" w:cs="仿宋_GB2312"/>
                <w:color w:val="auto"/>
                <w:sz w:val="32"/>
                <w:szCs w:val="32"/>
              </w:rPr>
            </w:pPr>
          </w:p>
        </w:tc>
        <w:tc>
          <w:tcPr>
            <w:tcW w:w="4819" w:type="dxa"/>
            <w:tcBorders>
              <w:top w:val="single" w:color="000000" w:sz="4" w:space="0"/>
              <w:left w:val="nil"/>
              <w:bottom w:val="single" w:color="000000" w:sz="4" w:space="0"/>
              <w:right w:val="single" w:color="000000" w:sz="4" w:space="0"/>
            </w:tcBorders>
            <w:noWrap w:val="0"/>
            <w:vAlign w:val="top"/>
          </w:tcPr>
          <w:p w14:paraId="353201F4">
            <w:pPr>
              <w:spacing w:line="360" w:lineRule="atLeast"/>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3、不得发生顾客或院内职工投诉【经核实为</w:t>
            </w:r>
            <w:r>
              <w:rPr>
                <w:rFonts w:hint="eastAsia" w:ascii="仿宋_GB2312" w:hAnsi="仿宋_GB2312" w:eastAsia="仿宋_GB2312" w:cs="仿宋_GB2312"/>
                <w:color w:val="auto"/>
                <w:sz w:val="32"/>
                <w:szCs w:val="32"/>
                <w:lang w:eastAsia="zh-CN"/>
              </w:rPr>
              <w:t>服务商</w:t>
            </w:r>
            <w:r>
              <w:rPr>
                <w:rFonts w:hint="eastAsia" w:ascii="仿宋_GB2312" w:hAnsi="仿宋_GB2312" w:eastAsia="仿宋_GB2312" w:cs="仿宋_GB2312"/>
                <w:color w:val="auto"/>
                <w:sz w:val="32"/>
                <w:szCs w:val="32"/>
              </w:rPr>
              <w:t>服务（包括窗品及送餐服务、餐食品质及口味差等）不到位造成投诉的】。</w:t>
            </w:r>
          </w:p>
        </w:tc>
        <w:tc>
          <w:tcPr>
            <w:tcW w:w="1749" w:type="dxa"/>
            <w:vMerge w:val="restart"/>
            <w:tcBorders>
              <w:top w:val="single" w:color="000000" w:sz="4" w:space="0"/>
              <w:left w:val="nil"/>
              <w:right w:val="single" w:color="000000" w:sz="4" w:space="0"/>
            </w:tcBorders>
            <w:noWrap w:val="0"/>
            <w:vAlign w:val="top"/>
          </w:tcPr>
          <w:p w14:paraId="5B8C4FC1">
            <w:pPr>
              <w:spacing w:line="360" w:lineRule="exact"/>
              <w:jc w:val="center"/>
              <w:rPr>
                <w:rFonts w:hint="eastAsia" w:ascii="仿宋_GB2312" w:hAnsi="仿宋_GB2312" w:eastAsia="仿宋_GB2312" w:cs="仿宋_GB2312"/>
                <w:color w:val="auto"/>
                <w:sz w:val="32"/>
                <w:szCs w:val="32"/>
              </w:rPr>
            </w:pPr>
          </w:p>
          <w:p w14:paraId="4DC366FE">
            <w:pPr>
              <w:spacing w:line="360" w:lineRule="exact"/>
              <w:jc w:val="center"/>
              <w:rPr>
                <w:rFonts w:hint="eastAsia" w:ascii="仿宋_GB2312" w:hAnsi="仿宋_GB2312" w:eastAsia="仿宋_GB2312" w:cs="仿宋_GB2312"/>
                <w:color w:val="auto"/>
                <w:sz w:val="32"/>
                <w:szCs w:val="32"/>
              </w:rPr>
            </w:pPr>
          </w:p>
          <w:p w14:paraId="3D429ACF">
            <w:pPr>
              <w:spacing w:line="360" w:lineRule="exact"/>
              <w:jc w:val="center"/>
              <w:rPr>
                <w:rFonts w:hint="eastAsia" w:ascii="仿宋_GB2312" w:hAnsi="仿宋_GB2312" w:eastAsia="仿宋_GB2312" w:cs="仿宋_GB2312"/>
                <w:color w:val="auto"/>
                <w:sz w:val="32"/>
                <w:szCs w:val="32"/>
              </w:rPr>
            </w:pPr>
          </w:p>
          <w:p w14:paraId="3AFFDF9B">
            <w:pPr>
              <w:spacing w:line="360" w:lineRule="exact"/>
              <w:jc w:val="center"/>
              <w:rPr>
                <w:rFonts w:hint="eastAsia" w:ascii="仿宋_GB2312" w:hAnsi="仿宋_GB2312" w:eastAsia="仿宋_GB2312" w:cs="仿宋_GB2312"/>
                <w:color w:val="auto"/>
                <w:sz w:val="32"/>
                <w:szCs w:val="32"/>
              </w:rPr>
            </w:pPr>
          </w:p>
          <w:p w14:paraId="02AAD80C">
            <w:pPr>
              <w:spacing w:line="360" w:lineRule="exact"/>
              <w:jc w:val="center"/>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每出现1项扣5分</w:t>
            </w:r>
          </w:p>
        </w:tc>
        <w:tc>
          <w:tcPr>
            <w:tcW w:w="1026" w:type="dxa"/>
            <w:tcBorders>
              <w:top w:val="single" w:color="000000" w:sz="4" w:space="0"/>
              <w:left w:val="nil"/>
              <w:bottom w:val="single" w:color="000000" w:sz="4" w:space="0"/>
              <w:right w:val="single" w:color="000000" w:sz="4" w:space="0"/>
            </w:tcBorders>
            <w:noWrap w:val="0"/>
            <w:vAlign w:val="top"/>
          </w:tcPr>
          <w:p w14:paraId="0D71F9BF">
            <w:pPr>
              <w:spacing w:line="360" w:lineRule="exact"/>
              <w:jc w:val="center"/>
              <w:rPr>
                <w:rFonts w:hint="eastAsia" w:ascii="仿宋_GB2312" w:hAnsi="仿宋_GB2312" w:eastAsia="仿宋_GB2312" w:cs="仿宋_GB2312"/>
                <w:color w:val="auto"/>
                <w:sz w:val="32"/>
                <w:szCs w:val="32"/>
              </w:rPr>
            </w:pPr>
          </w:p>
        </w:tc>
        <w:tc>
          <w:tcPr>
            <w:tcW w:w="993" w:type="dxa"/>
            <w:tcBorders>
              <w:top w:val="single" w:color="000000" w:sz="4" w:space="0"/>
              <w:left w:val="nil"/>
              <w:bottom w:val="single" w:color="000000" w:sz="4" w:space="0"/>
              <w:right w:val="single" w:color="000000" w:sz="4" w:space="0"/>
            </w:tcBorders>
            <w:noWrap w:val="0"/>
            <w:vAlign w:val="top"/>
          </w:tcPr>
          <w:p w14:paraId="1D1C99DF">
            <w:pPr>
              <w:spacing w:line="360" w:lineRule="exact"/>
              <w:jc w:val="center"/>
              <w:rPr>
                <w:rFonts w:hint="eastAsia" w:ascii="仿宋_GB2312" w:hAnsi="仿宋_GB2312" w:eastAsia="仿宋_GB2312" w:cs="仿宋_GB2312"/>
                <w:color w:val="auto"/>
                <w:sz w:val="32"/>
                <w:szCs w:val="32"/>
              </w:rPr>
            </w:pPr>
          </w:p>
        </w:tc>
      </w:tr>
      <w:tr w14:paraId="2E5D761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3" w:hRule="atLeast"/>
        </w:trPr>
        <w:tc>
          <w:tcPr>
            <w:tcW w:w="975" w:type="dxa"/>
            <w:vMerge w:val="continue"/>
            <w:tcBorders>
              <w:top w:val="nil"/>
              <w:left w:val="single" w:color="000000" w:sz="4" w:space="0"/>
              <w:bottom w:val="single" w:color="000000" w:sz="4" w:space="0"/>
              <w:right w:val="single" w:color="000000" w:sz="4" w:space="0"/>
            </w:tcBorders>
            <w:noWrap w:val="0"/>
            <w:vAlign w:val="center"/>
          </w:tcPr>
          <w:p w14:paraId="447D5767">
            <w:pPr>
              <w:widowControl/>
              <w:jc w:val="left"/>
              <w:rPr>
                <w:rFonts w:hint="eastAsia" w:ascii="仿宋_GB2312" w:hAnsi="仿宋_GB2312" w:eastAsia="仿宋_GB2312" w:cs="仿宋_GB2312"/>
                <w:color w:val="auto"/>
                <w:sz w:val="32"/>
                <w:szCs w:val="32"/>
              </w:rPr>
            </w:pPr>
          </w:p>
        </w:tc>
        <w:tc>
          <w:tcPr>
            <w:tcW w:w="4819" w:type="dxa"/>
            <w:tcBorders>
              <w:top w:val="single" w:color="000000" w:sz="4" w:space="0"/>
              <w:left w:val="nil"/>
              <w:bottom w:val="single" w:color="000000" w:sz="4" w:space="0"/>
              <w:right w:val="single" w:color="000000" w:sz="4" w:space="0"/>
            </w:tcBorders>
            <w:noWrap w:val="0"/>
            <w:vAlign w:val="top"/>
          </w:tcPr>
          <w:p w14:paraId="68BC0855">
            <w:pPr>
              <w:spacing w:line="360" w:lineRule="atLeast"/>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4、拒不承接病人、医生、护士等的送餐订单的</w:t>
            </w:r>
          </w:p>
        </w:tc>
        <w:tc>
          <w:tcPr>
            <w:tcW w:w="1749" w:type="dxa"/>
            <w:vMerge w:val="continue"/>
            <w:tcBorders>
              <w:left w:val="nil"/>
              <w:bottom w:val="single" w:color="000000" w:sz="4" w:space="0"/>
              <w:right w:val="single" w:color="000000" w:sz="4" w:space="0"/>
            </w:tcBorders>
            <w:noWrap w:val="0"/>
            <w:vAlign w:val="top"/>
          </w:tcPr>
          <w:p w14:paraId="074DD9DA">
            <w:pPr>
              <w:widowControl/>
              <w:jc w:val="left"/>
              <w:rPr>
                <w:rFonts w:hint="eastAsia" w:ascii="仿宋_GB2312" w:hAnsi="仿宋_GB2312" w:eastAsia="仿宋_GB2312" w:cs="仿宋_GB2312"/>
                <w:color w:val="auto"/>
                <w:sz w:val="32"/>
                <w:szCs w:val="32"/>
              </w:rPr>
            </w:pPr>
          </w:p>
        </w:tc>
        <w:tc>
          <w:tcPr>
            <w:tcW w:w="1026" w:type="dxa"/>
            <w:tcBorders>
              <w:top w:val="single" w:color="000000" w:sz="4" w:space="0"/>
              <w:left w:val="nil"/>
              <w:bottom w:val="single" w:color="000000" w:sz="4" w:space="0"/>
              <w:right w:val="single" w:color="000000" w:sz="4" w:space="0"/>
            </w:tcBorders>
            <w:noWrap w:val="0"/>
            <w:vAlign w:val="top"/>
          </w:tcPr>
          <w:p w14:paraId="007D63D5">
            <w:pPr>
              <w:spacing w:line="360" w:lineRule="exact"/>
              <w:jc w:val="center"/>
              <w:rPr>
                <w:rFonts w:hint="eastAsia" w:ascii="仿宋_GB2312" w:hAnsi="仿宋_GB2312" w:eastAsia="仿宋_GB2312" w:cs="仿宋_GB2312"/>
                <w:color w:val="auto"/>
                <w:sz w:val="32"/>
                <w:szCs w:val="32"/>
              </w:rPr>
            </w:pPr>
          </w:p>
        </w:tc>
        <w:tc>
          <w:tcPr>
            <w:tcW w:w="993" w:type="dxa"/>
            <w:tcBorders>
              <w:top w:val="single" w:color="000000" w:sz="4" w:space="0"/>
              <w:left w:val="nil"/>
              <w:bottom w:val="single" w:color="000000" w:sz="4" w:space="0"/>
              <w:right w:val="single" w:color="000000" w:sz="4" w:space="0"/>
            </w:tcBorders>
            <w:noWrap w:val="0"/>
            <w:vAlign w:val="top"/>
          </w:tcPr>
          <w:p w14:paraId="5827EB09">
            <w:pPr>
              <w:spacing w:line="360" w:lineRule="exact"/>
              <w:jc w:val="center"/>
              <w:rPr>
                <w:rFonts w:hint="eastAsia" w:ascii="仿宋_GB2312" w:hAnsi="仿宋_GB2312" w:eastAsia="仿宋_GB2312" w:cs="仿宋_GB2312"/>
                <w:color w:val="auto"/>
                <w:sz w:val="32"/>
                <w:szCs w:val="32"/>
              </w:rPr>
            </w:pPr>
          </w:p>
        </w:tc>
      </w:tr>
      <w:tr w14:paraId="54F2B1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0" w:hRule="atLeast"/>
        </w:trPr>
        <w:tc>
          <w:tcPr>
            <w:tcW w:w="975" w:type="dxa"/>
            <w:vMerge w:val="restart"/>
            <w:tcBorders>
              <w:top w:val="nil"/>
              <w:left w:val="single" w:color="000000" w:sz="4" w:space="0"/>
              <w:bottom w:val="single" w:color="000000" w:sz="4" w:space="0"/>
              <w:right w:val="single" w:color="000000" w:sz="4" w:space="0"/>
            </w:tcBorders>
            <w:noWrap w:val="0"/>
            <w:vAlign w:val="center"/>
          </w:tcPr>
          <w:p w14:paraId="1F1A04A3">
            <w:pPr>
              <w:spacing w:line="360" w:lineRule="exact"/>
              <w:jc w:val="center"/>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安全防范</w:t>
            </w:r>
          </w:p>
        </w:tc>
        <w:tc>
          <w:tcPr>
            <w:tcW w:w="4819" w:type="dxa"/>
            <w:tcBorders>
              <w:top w:val="single" w:color="000000" w:sz="4" w:space="0"/>
              <w:left w:val="nil"/>
              <w:bottom w:val="single" w:color="000000" w:sz="4" w:space="0"/>
              <w:right w:val="single" w:color="000000" w:sz="4" w:space="0"/>
            </w:tcBorders>
            <w:noWrap w:val="0"/>
            <w:vAlign w:val="top"/>
          </w:tcPr>
          <w:p w14:paraId="0F54A6EC">
            <w:pPr>
              <w:spacing w:line="360" w:lineRule="atLeast"/>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1、食品、储藏室专人管理、钥匙专管。</w:t>
            </w:r>
          </w:p>
        </w:tc>
        <w:tc>
          <w:tcPr>
            <w:tcW w:w="1749" w:type="dxa"/>
            <w:vMerge w:val="restart"/>
            <w:tcBorders>
              <w:top w:val="nil"/>
              <w:left w:val="nil"/>
              <w:bottom w:val="single" w:color="000000" w:sz="4" w:space="0"/>
              <w:right w:val="single" w:color="000000" w:sz="4" w:space="0"/>
            </w:tcBorders>
            <w:noWrap w:val="0"/>
            <w:vAlign w:val="center"/>
          </w:tcPr>
          <w:p w14:paraId="64EF3FE3">
            <w:pPr>
              <w:spacing w:line="360" w:lineRule="exact"/>
              <w:jc w:val="center"/>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每有1项未做到扣2分</w:t>
            </w:r>
          </w:p>
        </w:tc>
        <w:tc>
          <w:tcPr>
            <w:tcW w:w="1026" w:type="dxa"/>
            <w:tcBorders>
              <w:top w:val="single" w:color="000000" w:sz="4" w:space="0"/>
              <w:left w:val="nil"/>
              <w:bottom w:val="single" w:color="000000" w:sz="4" w:space="0"/>
              <w:right w:val="single" w:color="000000" w:sz="4" w:space="0"/>
            </w:tcBorders>
            <w:noWrap w:val="0"/>
            <w:vAlign w:val="top"/>
          </w:tcPr>
          <w:p w14:paraId="6C784AB1">
            <w:pPr>
              <w:spacing w:line="360" w:lineRule="exact"/>
              <w:jc w:val="center"/>
              <w:rPr>
                <w:rFonts w:hint="eastAsia" w:ascii="仿宋_GB2312" w:hAnsi="仿宋_GB2312" w:eastAsia="仿宋_GB2312" w:cs="仿宋_GB2312"/>
                <w:color w:val="auto"/>
                <w:sz w:val="32"/>
                <w:szCs w:val="32"/>
              </w:rPr>
            </w:pPr>
          </w:p>
        </w:tc>
        <w:tc>
          <w:tcPr>
            <w:tcW w:w="993" w:type="dxa"/>
            <w:tcBorders>
              <w:top w:val="single" w:color="000000" w:sz="4" w:space="0"/>
              <w:left w:val="nil"/>
              <w:bottom w:val="single" w:color="000000" w:sz="4" w:space="0"/>
              <w:right w:val="single" w:color="000000" w:sz="4" w:space="0"/>
            </w:tcBorders>
            <w:noWrap w:val="0"/>
            <w:vAlign w:val="top"/>
          </w:tcPr>
          <w:p w14:paraId="040061E5">
            <w:pPr>
              <w:spacing w:line="360" w:lineRule="exact"/>
              <w:jc w:val="center"/>
              <w:rPr>
                <w:rFonts w:hint="eastAsia" w:ascii="仿宋_GB2312" w:hAnsi="仿宋_GB2312" w:eastAsia="仿宋_GB2312" w:cs="仿宋_GB2312"/>
                <w:color w:val="auto"/>
                <w:sz w:val="32"/>
                <w:szCs w:val="32"/>
              </w:rPr>
            </w:pPr>
          </w:p>
        </w:tc>
      </w:tr>
      <w:tr w14:paraId="0387247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44" w:hRule="atLeast"/>
        </w:trPr>
        <w:tc>
          <w:tcPr>
            <w:tcW w:w="975" w:type="dxa"/>
            <w:vMerge w:val="continue"/>
            <w:tcBorders>
              <w:top w:val="nil"/>
              <w:left w:val="single" w:color="000000" w:sz="4" w:space="0"/>
              <w:bottom w:val="single" w:color="000000" w:sz="4" w:space="0"/>
              <w:right w:val="single" w:color="000000" w:sz="4" w:space="0"/>
            </w:tcBorders>
            <w:noWrap w:val="0"/>
            <w:vAlign w:val="center"/>
          </w:tcPr>
          <w:p w14:paraId="6DC27D7F">
            <w:pPr>
              <w:widowControl/>
              <w:jc w:val="left"/>
              <w:rPr>
                <w:rFonts w:hint="eastAsia" w:ascii="仿宋_GB2312" w:hAnsi="仿宋_GB2312" w:eastAsia="仿宋_GB2312" w:cs="仿宋_GB2312"/>
                <w:color w:val="auto"/>
                <w:sz w:val="32"/>
                <w:szCs w:val="32"/>
              </w:rPr>
            </w:pPr>
          </w:p>
        </w:tc>
        <w:tc>
          <w:tcPr>
            <w:tcW w:w="4819" w:type="dxa"/>
            <w:tcBorders>
              <w:top w:val="single" w:color="000000" w:sz="4" w:space="0"/>
              <w:left w:val="nil"/>
              <w:bottom w:val="single" w:color="000000" w:sz="4" w:space="0"/>
              <w:right w:val="single" w:color="000000" w:sz="4" w:space="0"/>
            </w:tcBorders>
            <w:noWrap w:val="0"/>
            <w:vAlign w:val="top"/>
          </w:tcPr>
          <w:p w14:paraId="399ABDBE">
            <w:pPr>
              <w:spacing w:line="360" w:lineRule="atLeast"/>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2、有预防农药残留制度，操作流程和检测责任人。</w:t>
            </w:r>
          </w:p>
        </w:tc>
        <w:tc>
          <w:tcPr>
            <w:tcW w:w="1749" w:type="dxa"/>
            <w:vMerge w:val="continue"/>
            <w:tcBorders>
              <w:top w:val="nil"/>
              <w:left w:val="nil"/>
              <w:bottom w:val="single" w:color="000000" w:sz="4" w:space="0"/>
              <w:right w:val="single" w:color="000000" w:sz="4" w:space="0"/>
            </w:tcBorders>
            <w:noWrap w:val="0"/>
            <w:vAlign w:val="center"/>
          </w:tcPr>
          <w:p w14:paraId="732BBA13">
            <w:pPr>
              <w:widowControl/>
              <w:jc w:val="left"/>
              <w:rPr>
                <w:rFonts w:hint="eastAsia" w:ascii="仿宋_GB2312" w:hAnsi="仿宋_GB2312" w:eastAsia="仿宋_GB2312" w:cs="仿宋_GB2312"/>
                <w:color w:val="auto"/>
                <w:sz w:val="32"/>
                <w:szCs w:val="32"/>
              </w:rPr>
            </w:pPr>
          </w:p>
        </w:tc>
        <w:tc>
          <w:tcPr>
            <w:tcW w:w="1026" w:type="dxa"/>
            <w:tcBorders>
              <w:top w:val="single" w:color="000000" w:sz="4" w:space="0"/>
              <w:left w:val="nil"/>
              <w:bottom w:val="single" w:color="000000" w:sz="4" w:space="0"/>
              <w:right w:val="single" w:color="000000" w:sz="4" w:space="0"/>
            </w:tcBorders>
            <w:noWrap w:val="0"/>
            <w:vAlign w:val="top"/>
          </w:tcPr>
          <w:p w14:paraId="7839BB82">
            <w:pPr>
              <w:spacing w:line="360" w:lineRule="exact"/>
              <w:jc w:val="center"/>
              <w:rPr>
                <w:rFonts w:hint="eastAsia" w:ascii="仿宋_GB2312" w:hAnsi="仿宋_GB2312" w:eastAsia="仿宋_GB2312" w:cs="仿宋_GB2312"/>
                <w:color w:val="auto"/>
                <w:sz w:val="32"/>
                <w:szCs w:val="32"/>
              </w:rPr>
            </w:pPr>
          </w:p>
        </w:tc>
        <w:tc>
          <w:tcPr>
            <w:tcW w:w="993" w:type="dxa"/>
            <w:tcBorders>
              <w:top w:val="single" w:color="000000" w:sz="4" w:space="0"/>
              <w:left w:val="nil"/>
              <w:bottom w:val="single" w:color="000000" w:sz="4" w:space="0"/>
              <w:right w:val="single" w:color="000000" w:sz="4" w:space="0"/>
            </w:tcBorders>
            <w:noWrap w:val="0"/>
            <w:vAlign w:val="top"/>
          </w:tcPr>
          <w:p w14:paraId="32EBC4D6">
            <w:pPr>
              <w:spacing w:line="360" w:lineRule="exact"/>
              <w:jc w:val="center"/>
              <w:rPr>
                <w:rFonts w:hint="eastAsia" w:ascii="仿宋_GB2312" w:hAnsi="仿宋_GB2312" w:eastAsia="仿宋_GB2312" w:cs="仿宋_GB2312"/>
                <w:color w:val="auto"/>
                <w:sz w:val="32"/>
                <w:szCs w:val="32"/>
              </w:rPr>
            </w:pPr>
          </w:p>
        </w:tc>
      </w:tr>
      <w:tr w14:paraId="336217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44" w:hRule="atLeast"/>
        </w:trPr>
        <w:tc>
          <w:tcPr>
            <w:tcW w:w="975" w:type="dxa"/>
            <w:vMerge w:val="continue"/>
            <w:tcBorders>
              <w:top w:val="nil"/>
              <w:left w:val="single" w:color="000000" w:sz="4" w:space="0"/>
              <w:bottom w:val="single" w:color="000000" w:sz="4" w:space="0"/>
              <w:right w:val="single" w:color="000000" w:sz="4" w:space="0"/>
            </w:tcBorders>
            <w:noWrap w:val="0"/>
            <w:vAlign w:val="center"/>
          </w:tcPr>
          <w:p w14:paraId="1D0ACA15">
            <w:pPr>
              <w:widowControl/>
              <w:jc w:val="left"/>
              <w:rPr>
                <w:rFonts w:hint="eastAsia" w:ascii="仿宋_GB2312" w:hAnsi="仿宋_GB2312" w:eastAsia="仿宋_GB2312" w:cs="仿宋_GB2312"/>
                <w:color w:val="auto"/>
                <w:sz w:val="32"/>
                <w:szCs w:val="32"/>
              </w:rPr>
            </w:pPr>
          </w:p>
        </w:tc>
        <w:tc>
          <w:tcPr>
            <w:tcW w:w="4819" w:type="dxa"/>
            <w:tcBorders>
              <w:top w:val="single" w:color="000000" w:sz="4" w:space="0"/>
              <w:left w:val="nil"/>
              <w:bottom w:val="single" w:color="000000" w:sz="4" w:space="0"/>
              <w:right w:val="single" w:color="000000" w:sz="4" w:space="0"/>
            </w:tcBorders>
            <w:noWrap w:val="0"/>
            <w:vAlign w:val="top"/>
          </w:tcPr>
          <w:p w14:paraId="3B13698D">
            <w:pPr>
              <w:spacing w:line="360" w:lineRule="atLeast"/>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3、餐具消毒清洗有流程、方法和责任人。</w:t>
            </w:r>
          </w:p>
        </w:tc>
        <w:tc>
          <w:tcPr>
            <w:tcW w:w="1749" w:type="dxa"/>
            <w:vMerge w:val="continue"/>
            <w:tcBorders>
              <w:top w:val="nil"/>
              <w:left w:val="nil"/>
              <w:bottom w:val="single" w:color="000000" w:sz="4" w:space="0"/>
              <w:right w:val="single" w:color="000000" w:sz="4" w:space="0"/>
            </w:tcBorders>
            <w:noWrap w:val="0"/>
            <w:vAlign w:val="center"/>
          </w:tcPr>
          <w:p w14:paraId="23C04F74">
            <w:pPr>
              <w:widowControl/>
              <w:jc w:val="left"/>
              <w:rPr>
                <w:rFonts w:hint="eastAsia" w:ascii="仿宋_GB2312" w:hAnsi="仿宋_GB2312" w:eastAsia="仿宋_GB2312" w:cs="仿宋_GB2312"/>
                <w:color w:val="auto"/>
                <w:sz w:val="32"/>
                <w:szCs w:val="32"/>
              </w:rPr>
            </w:pPr>
          </w:p>
        </w:tc>
        <w:tc>
          <w:tcPr>
            <w:tcW w:w="1026" w:type="dxa"/>
            <w:tcBorders>
              <w:top w:val="single" w:color="000000" w:sz="4" w:space="0"/>
              <w:left w:val="nil"/>
              <w:bottom w:val="single" w:color="000000" w:sz="4" w:space="0"/>
              <w:right w:val="single" w:color="000000" w:sz="4" w:space="0"/>
            </w:tcBorders>
            <w:noWrap w:val="0"/>
            <w:vAlign w:val="top"/>
          </w:tcPr>
          <w:p w14:paraId="7004A3A8">
            <w:pPr>
              <w:spacing w:line="360" w:lineRule="exact"/>
              <w:jc w:val="center"/>
              <w:rPr>
                <w:rFonts w:hint="eastAsia" w:ascii="仿宋_GB2312" w:hAnsi="仿宋_GB2312" w:eastAsia="仿宋_GB2312" w:cs="仿宋_GB2312"/>
                <w:color w:val="auto"/>
                <w:sz w:val="32"/>
                <w:szCs w:val="32"/>
              </w:rPr>
            </w:pPr>
          </w:p>
        </w:tc>
        <w:tc>
          <w:tcPr>
            <w:tcW w:w="993" w:type="dxa"/>
            <w:tcBorders>
              <w:top w:val="single" w:color="000000" w:sz="4" w:space="0"/>
              <w:left w:val="nil"/>
              <w:bottom w:val="single" w:color="000000" w:sz="4" w:space="0"/>
              <w:right w:val="single" w:color="000000" w:sz="4" w:space="0"/>
            </w:tcBorders>
            <w:noWrap w:val="0"/>
            <w:vAlign w:val="top"/>
          </w:tcPr>
          <w:p w14:paraId="5B68B87F">
            <w:pPr>
              <w:spacing w:line="360" w:lineRule="exact"/>
              <w:jc w:val="center"/>
              <w:rPr>
                <w:rFonts w:hint="eastAsia" w:ascii="仿宋_GB2312" w:hAnsi="仿宋_GB2312" w:eastAsia="仿宋_GB2312" w:cs="仿宋_GB2312"/>
                <w:color w:val="auto"/>
                <w:sz w:val="32"/>
                <w:szCs w:val="32"/>
              </w:rPr>
            </w:pPr>
          </w:p>
        </w:tc>
      </w:tr>
      <w:tr w14:paraId="53161C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44" w:hRule="atLeast"/>
        </w:trPr>
        <w:tc>
          <w:tcPr>
            <w:tcW w:w="975" w:type="dxa"/>
            <w:vMerge w:val="continue"/>
            <w:tcBorders>
              <w:top w:val="nil"/>
              <w:left w:val="single" w:color="000000" w:sz="4" w:space="0"/>
              <w:bottom w:val="single" w:color="000000" w:sz="4" w:space="0"/>
              <w:right w:val="single" w:color="000000" w:sz="4" w:space="0"/>
            </w:tcBorders>
            <w:noWrap w:val="0"/>
            <w:vAlign w:val="center"/>
          </w:tcPr>
          <w:p w14:paraId="0EB89DFD">
            <w:pPr>
              <w:widowControl/>
              <w:jc w:val="left"/>
              <w:rPr>
                <w:rFonts w:hint="eastAsia" w:ascii="仿宋_GB2312" w:hAnsi="仿宋_GB2312" w:eastAsia="仿宋_GB2312" w:cs="仿宋_GB2312"/>
                <w:color w:val="auto"/>
                <w:sz w:val="32"/>
                <w:szCs w:val="32"/>
              </w:rPr>
            </w:pPr>
          </w:p>
        </w:tc>
        <w:tc>
          <w:tcPr>
            <w:tcW w:w="4819" w:type="dxa"/>
            <w:tcBorders>
              <w:top w:val="single" w:color="000000" w:sz="4" w:space="0"/>
              <w:left w:val="nil"/>
              <w:bottom w:val="single" w:color="000000" w:sz="4" w:space="0"/>
              <w:right w:val="single" w:color="000000" w:sz="4" w:space="0"/>
            </w:tcBorders>
            <w:noWrap w:val="0"/>
            <w:vAlign w:val="top"/>
          </w:tcPr>
          <w:p w14:paraId="256AADEA">
            <w:pPr>
              <w:spacing w:line="360" w:lineRule="atLeast"/>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4、食堂人员会使用灭火器，有预防措施和安全责任人。</w:t>
            </w:r>
          </w:p>
        </w:tc>
        <w:tc>
          <w:tcPr>
            <w:tcW w:w="1749" w:type="dxa"/>
            <w:vMerge w:val="continue"/>
            <w:tcBorders>
              <w:top w:val="nil"/>
              <w:left w:val="nil"/>
              <w:bottom w:val="single" w:color="000000" w:sz="4" w:space="0"/>
              <w:right w:val="single" w:color="000000" w:sz="4" w:space="0"/>
            </w:tcBorders>
            <w:noWrap w:val="0"/>
            <w:vAlign w:val="center"/>
          </w:tcPr>
          <w:p w14:paraId="3DB22B3B">
            <w:pPr>
              <w:widowControl/>
              <w:jc w:val="left"/>
              <w:rPr>
                <w:rFonts w:hint="eastAsia" w:ascii="仿宋_GB2312" w:hAnsi="仿宋_GB2312" w:eastAsia="仿宋_GB2312" w:cs="仿宋_GB2312"/>
                <w:color w:val="auto"/>
                <w:sz w:val="32"/>
                <w:szCs w:val="32"/>
              </w:rPr>
            </w:pPr>
          </w:p>
        </w:tc>
        <w:tc>
          <w:tcPr>
            <w:tcW w:w="1026" w:type="dxa"/>
            <w:tcBorders>
              <w:top w:val="single" w:color="000000" w:sz="4" w:space="0"/>
              <w:left w:val="nil"/>
              <w:bottom w:val="single" w:color="000000" w:sz="4" w:space="0"/>
              <w:right w:val="single" w:color="000000" w:sz="4" w:space="0"/>
            </w:tcBorders>
            <w:noWrap w:val="0"/>
            <w:vAlign w:val="top"/>
          </w:tcPr>
          <w:p w14:paraId="695EC858">
            <w:pPr>
              <w:spacing w:line="360" w:lineRule="exact"/>
              <w:jc w:val="center"/>
              <w:rPr>
                <w:rFonts w:hint="eastAsia" w:ascii="仿宋_GB2312" w:hAnsi="仿宋_GB2312" w:eastAsia="仿宋_GB2312" w:cs="仿宋_GB2312"/>
                <w:color w:val="auto"/>
                <w:sz w:val="32"/>
                <w:szCs w:val="32"/>
              </w:rPr>
            </w:pPr>
          </w:p>
        </w:tc>
        <w:tc>
          <w:tcPr>
            <w:tcW w:w="993" w:type="dxa"/>
            <w:tcBorders>
              <w:top w:val="single" w:color="000000" w:sz="4" w:space="0"/>
              <w:left w:val="nil"/>
              <w:bottom w:val="single" w:color="000000" w:sz="4" w:space="0"/>
              <w:right w:val="single" w:color="000000" w:sz="4" w:space="0"/>
            </w:tcBorders>
            <w:noWrap w:val="0"/>
            <w:vAlign w:val="top"/>
          </w:tcPr>
          <w:p w14:paraId="1E6E35F2">
            <w:pPr>
              <w:spacing w:line="360" w:lineRule="exact"/>
              <w:jc w:val="center"/>
              <w:rPr>
                <w:rFonts w:hint="eastAsia" w:ascii="仿宋_GB2312" w:hAnsi="仿宋_GB2312" w:eastAsia="仿宋_GB2312" w:cs="仿宋_GB2312"/>
                <w:color w:val="auto"/>
                <w:sz w:val="32"/>
                <w:szCs w:val="32"/>
              </w:rPr>
            </w:pPr>
          </w:p>
        </w:tc>
      </w:tr>
      <w:tr w14:paraId="07D9F81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44" w:hRule="atLeast"/>
        </w:trPr>
        <w:tc>
          <w:tcPr>
            <w:tcW w:w="975" w:type="dxa"/>
            <w:vMerge w:val="continue"/>
            <w:tcBorders>
              <w:top w:val="nil"/>
              <w:left w:val="single" w:color="000000" w:sz="4" w:space="0"/>
              <w:bottom w:val="single" w:color="000000" w:sz="4" w:space="0"/>
              <w:right w:val="single" w:color="000000" w:sz="4" w:space="0"/>
            </w:tcBorders>
            <w:noWrap w:val="0"/>
            <w:vAlign w:val="center"/>
          </w:tcPr>
          <w:p w14:paraId="248BEA48">
            <w:pPr>
              <w:widowControl/>
              <w:jc w:val="left"/>
              <w:rPr>
                <w:rFonts w:hint="eastAsia" w:ascii="仿宋_GB2312" w:hAnsi="仿宋_GB2312" w:eastAsia="仿宋_GB2312" w:cs="仿宋_GB2312"/>
                <w:color w:val="auto"/>
                <w:sz w:val="32"/>
                <w:szCs w:val="32"/>
              </w:rPr>
            </w:pPr>
          </w:p>
        </w:tc>
        <w:tc>
          <w:tcPr>
            <w:tcW w:w="4819" w:type="dxa"/>
            <w:tcBorders>
              <w:top w:val="single" w:color="000000" w:sz="4" w:space="0"/>
              <w:left w:val="nil"/>
              <w:bottom w:val="single" w:color="000000" w:sz="4" w:space="0"/>
              <w:right w:val="single" w:color="000000" w:sz="4" w:space="0"/>
            </w:tcBorders>
            <w:noWrap w:val="0"/>
            <w:vAlign w:val="top"/>
          </w:tcPr>
          <w:p w14:paraId="791F82BB">
            <w:pPr>
              <w:spacing w:line="360" w:lineRule="atLeast"/>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5、餐样留存48小时，有食物中毒预案。</w:t>
            </w:r>
          </w:p>
        </w:tc>
        <w:tc>
          <w:tcPr>
            <w:tcW w:w="1749" w:type="dxa"/>
            <w:vMerge w:val="continue"/>
            <w:tcBorders>
              <w:top w:val="nil"/>
              <w:left w:val="nil"/>
              <w:bottom w:val="single" w:color="000000" w:sz="4" w:space="0"/>
              <w:right w:val="single" w:color="000000" w:sz="4" w:space="0"/>
            </w:tcBorders>
            <w:noWrap w:val="0"/>
            <w:vAlign w:val="center"/>
          </w:tcPr>
          <w:p w14:paraId="4F4CFC50">
            <w:pPr>
              <w:widowControl/>
              <w:jc w:val="left"/>
              <w:rPr>
                <w:rFonts w:hint="eastAsia" w:ascii="仿宋_GB2312" w:hAnsi="仿宋_GB2312" w:eastAsia="仿宋_GB2312" w:cs="仿宋_GB2312"/>
                <w:color w:val="auto"/>
                <w:sz w:val="32"/>
                <w:szCs w:val="32"/>
              </w:rPr>
            </w:pPr>
          </w:p>
        </w:tc>
        <w:tc>
          <w:tcPr>
            <w:tcW w:w="1026" w:type="dxa"/>
            <w:tcBorders>
              <w:top w:val="single" w:color="000000" w:sz="4" w:space="0"/>
              <w:left w:val="nil"/>
              <w:bottom w:val="single" w:color="000000" w:sz="4" w:space="0"/>
              <w:right w:val="single" w:color="000000" w:sz="4" w:space="0"/>
            </w:tcBorders>
            <w:noWrap w:val="0"/>
            <w:vAlign w:val="top"/>
          </w:tcPr>
          <w:p w14:paraId="72608650">
            <w:pPr>
              <w:spacing w:line="360" w:lineRule="exact"/>
              <w:jc w:val="center"/>
              <w:rPr>
                <w:rFonts w:hint="eastAsia" w:ascii="仿宋_GB2312" w:hAnsi="仿宋_GB2312" w:eastAsia="仿宋_GB2312" w:cs="仿宋_GB2312"/>
                <w:color w:val="auto"/>
                <w:sz w:val="32"/>
                <w:szCs w:val="32"/>
              </w:rPr>
            </w:pPr>
          </w:p>
        </w:tc>
        <w:tc>
          <w:tcPr>
            <w:tcW w:w="993" w:type="dxa"/>
            <w:tcBorders>
              <w:top w:val="single" w:color="000000" w:sz="4" w:space="0"/>
              <w:left w:val="nil"/>
              <w:bottom w:val="single" w:color="000000" w:sz="4" w:space="0"/>
              <w:right w:val="single" w:color="000000" w:sz="4" w:space="0"/>
            </w:tcBorders>
            <w:noWrap w:val="0"/>
            <w:vAlign w:val="top"/>
          </w:tcPr>
          <w:p w14:paraId="26D69E9D">
            <w:pPr>
              <w:spacing w:line="360" w:lineRule="exact"/>
              <w:jc w:val="center"/>
              <w:rPr>
                <w:rFonts w:hint="eastAsia" w:ascii="仿宋_GB2312" w:hAnsi="仿宋_GB2312" w:eastAsia="仿宋_GB2312" w:cs="仿宋_GB2312"/>
                <w:color w:val="auto"/>
                <w:sz w:val="32"/>
                <w:szCs w:val="32"/>
              </w:rPr>
            </w:pPr>
          </w:p>
        </w:tc>
      </w:tr>
      <w:tr w14:paraId="1409041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160" w:hRule="atLeast"/>
        </w:trPr>
        <w:tc>
          <w:tcPr>
            <w:tcW w:w="975" w:type="dxa"/>
            <w:tcBorders>
              <w:top w:val="single" w:color="000000" w:sz="4" w:space="0"/>
              <w:left w:val="single" w:color="000000" w:sz="4" w:space="0"/>
              <w:bottom w:val="single" w:color="000000" w:sz="4" w:space="0"/>
              <w:right w:val="single" w:color="000000" w:sz="4" w:space="0"/>
            </w:tcBorders>
            <w:noWrap w:val="0"/>
            <w:vAlign w:val="center"/>
          </w:tcPr>
          <w:p w14:paraId="70B3A792">
            <w:pPr>
              <w:spacing w:line="360" w:lineRule="exact"/>
              <w:jc w:val="center"/>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餐饮服务民意调查</w:t>
            </w:r>
          </w:p>
        </w:tc>
        <w:tc>
          <w:tcPr>
            <w:tcW w:w="4819" w:type="dxa"/>
            <w:tcBorders>
              <w:top w:val="single" w:color="000000" w:sz="4" w:space="0"/>
              <w:left w:val="nil"/>
              <w:bottom w:val="single" w:color="000000" w:sz="4" w:space="0"/>
              <w:right w:val="single" w:color="000000" w:sz="4" w:space="0"/>
            </w:tcBorders>
            <w:noWrap w:val="0"/>
            <w:vAlign w:val="top"/>
          </w:tcPr>
          <w:p w14:paraId="1E34539A">
            <w:pPr>
              <w:spacing w:line="360" w:lineRule="atLeast"/>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每月进行一次餐饮服务民意调查, 调查结果满意率达</w:t>
            </w:r>
            <w:r>
              <w:rPr>
                <w:rFonts w:hint="eastAsia" w:ascii="仿宋_GB2312" w:hAnsi="仿宋_GB2312" w:eastAsia="仿宋_GB2312" w:cs="仿宋_GB2312"/>
                <w:color w:val="auto"/>
                <w:sz w:val="32"/>
                <w:szCs w:val="32"/>
                <w:highlight w:val="none"/>
                <w:lang w:val="en-US" w:eastAsia="zh-CN"/>
              </w:rPr>
              <w:t>9</w:t>
            </w:r>
            <w:r>
              <w:rPr>
                <w:rFonts w:hint="eastAsia" w:ascii="仿宋_GB2312" w:hAnsi="仿宋_GB2312" w:eastAsia="仿宋_GB2312" w:cs="仿宋_GB2312"/>
                <w:color w:val="auto"/>
                <w:sz w:val="32"/>
                <w:szCs w:val="32"/>
                <w:highlight w:val="none"/>
              </w:rPr>
              <w:t>0%以上的为合格，满意率低于</w:t>
            </w:r>
            <w:r>
              <w:rPr>
                <w:rFonts w:hint="eastAsia" w:ascii="仿宋_GB2312" w:hAnsi="仿宋_GB2312" w:eastAsia="仿宋_GB2312" w:cs="仿宋_GB2312"/>
                <w:color w:val="auto"/>
                <w:sz w:val="32"/>
                <w:szCs w:val="32"/>
                <w:highlight w:val="none"/>
                <w:lang w:val="en-US" w:eastAsia="zh-CN"/>
              </w:rPr>
              <w:t>9</w:t>
            </w:r>
            <w:r>
              <w:rPr>
                <w:rFonts w:hint="eastAsia" w:ascii="仿宋_GB2312" w:hAnsi="仿宋_GB2312" w:eastAsia="仿宋_GB2312" w:cs="仿宋_GB2312"/>
                <w:color w:val="auto"/>
                <w:sz w:val="32"/>
                <w:szCs w:val="32"/>
                <w:highlight w:val="none"/>
              </w:rPr>
              <w:t>0%的，每降低5个百分点扣1分，满意率低于</w:t>
            </w:r>
            <w:r>
              <w:rPr>
                <w:rFonts w:hint="eastAsia" w:ascii="仿宋_GB2312" w:hAnsi="仿宋_GB2312" w:eastAsia="仿宋_GB2312" w:cs="仿宋_GB2312"/>
                <w:color w:val="auto"/>
                <w:sz w:val="32"/>
                <w:szCs w:val="32"/>
                <w:highlight w:val="none"/>
                <w:lang w:val="en-US" w:eastAsia="zh-CN"/>
              </w:rPr>
              <w:t>7</w:t>
            </w:r>
            <w:r>
              <w:rPr>
                <w:rFonts w:hint="eastAsia" w:ascii="仿宋_GB2312" w:hAnsi="仿宋_GB2312" w:eastAsia="仿宋_GB2312" w:cs="仿宋_GB2312"/>
                <w:color w:val="auto"/>
                <w:sz w:val="32"/>
                <w:szCs w:val="32"/>
                <w:highlight w:val="none"/>
              </w:rPr>
              <w:t>0%的本项不得分。满意率高于</w:t>
            </w:r>
            <w:r>
              <w:rPr>
                <w:rFonts w:hint="eastAsia" w:ascii="仿宋_GB2312" w:hAnsi="仿宋_GB2312" w:eastAsia="仿宋_GB2312" w:cs="仿宋_GB2312"/>
                <w:color w:val="auto"/>
                <w:sz w:val="32"/>
                <w:szCs w:val="32"/>
                <w:highlight w:val="none"/>
                <w:lang w:val="en-US" w:eastAsia="zh-CN"/>
              </w:rPr>
              <w:t>9</w:t>
            </w:r>
            <w:r>
              <w:rPr>
                <w:rFonts w:hint="eastAsia" w:ascii="仿宋_GB2312" w:hAnsi="仿宋_GB2312" w:eastAsia="仿宋_GB2312" w:cs="仿宋_GB2312"/>
                <w:color w:val="auto"/>
                <w:sz w:val="32"/>
                <w:szCs w:val="32"/>
                <w:highlight w:val="none"/>
              </w:rPr>
              <w:t>0%的，每高于5个百分点加1分。加分部分可以抵扣其他项目扣分分值。</w:t>
            </w:r>
          </w:p>
        </w:tc>
        <w:tc>
          <w:tcPr>
            <w:tcW w:w="1749" w:type="dxa"/>
            <w:tcBorders>
              <w:top w:val="single" w:color="000000" w:sz="4" w:space="0"/>
              <w:left w:val="nil"/>
              <w:bottom w:val="single" w:color="000000" w:sz="4" w:space="0"/>
              <w:right w:val="single" w:color="000000" w:sz="4" w:space="0"/>
            </w:tcBorders>
            <w:noWrap w:val="0"/>
            <w:vAlign w:val="center"/>
          </w:tcPr>
          <w:p w14:paraId="679E4DCF">
            <w:pPr>
              <w:spacing w:line="360" w:lineRule="exact"/>
              <w:jc w:val="center"/>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每月调查一次，满意率达</w:t>
            </w:r>
            <w:r>
              <w:rPr>
                <w:rFonts w:hint="eastAsia" w:ascii="仿宋_GB2312" w:hAnsi="仿宋_GB2312" w:eastAsia="仿宋_GB2312" w:cs="仿宋_GB2312"/>
                <w:color w:val="auto"/>
                <w:sz w:val="32"/>
                <w:szCs w:val="32"/>
                <w:highlight w:val="none"/>
                <w:lang w:val="en-US" w:eastAsia="zh-CN"/>
              </w:rPr>
              <w:t>9</w:t>
            </w:r>
            <w:r>
              <w:rPr>
                <w:rFonts w:hint="eastAsia" w:ascii="仿宋_GB2312" w:hAnsi="仿宋_GB2312" w:eastAsia="仿宋_GB2312" w:cs="仿宋_GB2312"/>
                <w:color w:val="auto"/>
                <w:sz w:val="32"/>
                <w:szCs w:val="32"/>
                <w:highlight w:val="none"/>
              </w:rPr>
              <w:t>0%的得9分</w:t>
            </w:r>
          </w:p>
        </w:tc>
        <w:tc>
          <w:tcPr>
            <w:tcW w:w="1026" w:type="dxa"/>
            <w:tcBorders>
              <w:top w:val="single" w:color="000000" w:sz="4" w:space="0"/>
              <w:left w:val="nil"/>
              <w:bottom w:val="single" w:color="000000" w:sz="4" w:space="0"/>
              <w:right w:val="single" w:color="000000" w:sz="4" w:space="0"/>
            </w:tcBorders>
            <w:noWrap w:val="0"/>
            <w:vAlign w:val="top"/>
          </w:tcPr>
          <w:p w14:paraId="0E5154C3">
            <w:pPr>
              <w:spacing w:line="360" w:lineRule="exact"/>
              <w:jc w:val="center"/>
              <w:rPr>
                <w:rFonts w:hint="eastAsia" w:ascii="仿宋_GB2312" w:hAnsi="仿宋_GB2312" w:eastAsia="仿宋_GB2312" w:cs="仿宋_GB2312"/>
                <w:color w:val="auto"/>
                <w:sz w:val="32"/>
                <w:szCs w:val="32"/>
                <w:highlight w:val="none"/>
              </w:rPr>
            </w:pPr>
          </w:p>
        </w:tc>
        <w:tc>
          <w:tcPr>
            <w:tcW w:w="993" w:type="dxa"/>
            <w:tcBorders>
              <w:top w:val="single" w:color="000000" w:sz="4" w:space="0"/>
              <w:left w:val="nil"/>
              <w:bottom w:val="single" w:color="000000" w:sz="4" w:space="0"/>
              <w:right w:val="single" w:color="000000" w:sz="4" w:space="0"/>
            </w:tcBorders>
            <w:noWrap w:val="0"/>
            <w:vAlign w:val="top"/>
          </w:tcPr>
          <w:p w14:paraId="0CAC9863">
            <w:pPr>
              <w:spacing w:line="360" w:lineRule="exact"/>
              <w:jc w:val="center"/>
              <w:rPr>
                <w:rFonts w:hint="eastAsia" w:ascii="仿宋_GB2312" w:hAnsi="仿宋_GB2312" w:eastAsia="仿宋_GB2312" w:cs="仿宋_GB2312"/>
                <w:color w:val="auto"/>
                <w:sz w:val="32"/>
                <w:szCs w:val="32"/>
                <w:highlight w:val="none"/>
              </w:rPr>
            </w:pPr>
          </w:p>
        </w:tc>
      </w:tr>
      <w:tr w14:paraId="0F51C23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38" w:hRule="atLeast"/>
        </w:trPr>
        <w:tc>
          <w:tcPr>
            <w:tcW w:w="7543" w:type="dxa"/>
            <w:gridSpan w:val="3"/>
            <w:tcBorders>
              <w:top w:val="single" w:color="000000" w:sz="4" w:space="0"/>
              <w:left w:val="single" w:color="000000" w:sz="4" w:space="0"/>
              <w:bottom w:val="single" w:color="000000" w:sz="4" w:space="0"/>
              <w:right w:val="single" w:color="000000" w:sz="4" w:space="0"/>
            </w:tcBorders>
            <w:noWrap w:val="0"/>
            <w:vAlign w:val="center"/>
          </w:tcPr>
          <w:p w14:paraId="5180258C">
            <w:pPr>
              <w:spacing w:line="360" w:lineRule="exact"/>
              <w:jc w:val="center"/>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b/>
                <w:bCs/>
                <w:color w:val="auto"/>
                <w:sz w:val="32"/>
                <w:szCs w:val="32"/>
                <w:highlight w:val="none"/>
              </w:rPr>
              <w:t>本季度考核总得分</w:t>
            </w:r>
          </w:p>
        </w:tc>
        <w:tc>
          <w:tcPr>
            <w:tcW w:w="1026" w:type="dxa"/>
            <w:tcBorders>
              <w:top w:val="single" w:color="000000" w:sz="4" w:space="0"/>
              <w:left w:val="nil"/>
              <w:bottom w:val="single" w:color="000000" w:sz="4" w:space="0"/>
              <w:right w:val="single" w:color="000000" w:sz="4" w:space="0"/>
            </w:tcBorders>
            <w:noWrap w:val="0"/>
            <w:vAlign w:val="top"/>
          </w:tcPr>
          <w:p w14:paraId="0DF984AB">
            <w:pPr>
              <w:spacing w:line="360" w:lineRule="exact"/>
              <w:jc w:val="center"/>
              <w:rPr>
                <w:rFonts w:hint="eastAsia" w:ascii="仿宋_GB2312" w:hAnsi="仿宋_GB2312" w:eastAsia="仿宋_GB2312" w:cs="仿宋_GB2312"/>
                <w:color w:val="auto"/>
                <w:sz w:val="32"/>
                <w:szCs w:val="32"/>
                <w:highlight w:val="none"/>
              </w:rPr>
            </w:pPr>
          </w:p>
        </w:tc>
        <w:tc>
          <w:tcPr>
            <w:tcW w:w="993" w:type="dxa"/>
            <w:tcBorders>
              <w:top w:val="single" w:color="000000" w:sz="4" w:space="0"/>
              <w:left w:val="nil"/>
              <w:bottom w:val="single" w:color="000000" w:sz="4" w:space="0"/>
              <w:right w:val="single" w:color="000000" w:sz="4" w:space="0"/>
            </w:tcBorders>
            <w:noWrap w:val="0"/>
            <w:vAlign w:val="top"/>
          </w:tcPr>
          <w:p w14:paraId="07D48CC0">
            <w:pPr>
              <w:spacing w:line="360" w:lineRule="exact"/>
              <w:jc w:val="center"/>
              <w:rPr>
                <w:rFonts w:hint="eastAsia" w:ascii="仿宋_GB2312" w:hAnsi="仿宋_GB2312" w:eastAsia="仿宋_GB2312" w:cs="仿宋_GB2312"/>
                <w:color w:val="auto"/>
                <w:sz w:val="32"/>
                <w:szCs w:val="32"/>
                <w:highlight w:val="none"/>
              </w:rPr>
            </w:pPr>
          </w:p>
        </w:tc>
      </w:tr>
      <w:tr w14:paraId="0AD4AE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94" w:hRule="atLeast"/>
        </w:trPr>
        <w:tc>
          <w:tcPr>
            <w:tcW w:w="7543" w:type="dxa"/>
            <w:gridSpan w:val="3"/>
            <w:tcBorders>
              <w:top w:val="single" w:color="000000" w:sz="4" w:space="0"/>
              <w:left w:val="single" w:color="000000" w:sz="4" w:space="0"/>
              <w:bottom w:val="single" w:color="000000" w:sz="4" w:space="0"/>
              <w:right w:val="single" w:color="000000" w:sz="4" w:space="0"/>
            </w:tcBorders>
            <w:noWrap w:val="0"/>
            <w:vAlign w:val="center"/>
          </w:tcPr>
          <w:p w14:paraId="48FA14A6">
            <w:pPr>
              <w:spacing w:line="360" w:lineRule="exact"/>
              <w:jc w:val="center"/>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b/>
                <w:bCs/>
                <w:color w:val="auto"/>
                <w:sz w:val="32"/>
                <w:szCs w:val="32"/>
                <w:highlight w:val="none"/>
              </w:rPr>
              <w:t>本季度考核总评价</w:t>
            </w:r>
          </w:p>
        </w:tc>
        <w:tc>
          <w:tcPr>
            <w:tcW w:w="1026" w:type="dxa"/>
            <w:tcBorders>
              <w:top w:val="single" w:color="000000" w:sz="4" w:space="0"/>
              <w:left w:val="nil"/>
              <w:bottom w:val="single" w:color="000000" w:sz="4" w:space="0"/>
              <w:right w:val="single" w:color="000000" w:sz="4" w:space="0"/>
            </w:tcBorders>
            <w:noWrap w:val="0"/>
            <w:vAlign w:val="top"/>
          </w:tcPr>
          <w:p w14:paraId="7F338524">
            <w:pPr>
              <w:spacing w:line="360" w:lineRule="exact"/>
              <w:jc w:val="center"/>
              <w:rPr>
                <w:rFonts w:hint="eastAsia" w:ascii="仿宋_GB2312" w:hAnsi="仿宋_GB2312" w:eastAsia="仿宋_GB2312" w:cs="仿宋_GB2312"/>
                <w:color w:val="auto"/>
                <w:sz w:val="32"/>
                <w:szCs w:val="32"/>
                <w:highlight w:val="none"/>
              </w:rPr>
            </w:pPr>
          </w:p>
        </w:tc>
        <w:tc>
          <w:tcPr>
            <w:tcW w:w="993" w:type="dxa"/>
            <w:tcBorders>
              <w:top w:val="single" w:color="000000" w:sz="4" w:space="0"/>
              <w:left w:val="nil"/>
              <w:bottom w:val="single" w:color="000000" w:sz="4" w:space="0"/>
              <w:right w:val="single" w:color="000000" w:sz="4" w:space="0"/>
            </w:tcBorders>
            <w:noWrap w:val="0"/>
            <w:vAlign w:val="top"/>
          </w:tcPr>
          <w:p w14:paraId="1C01ECC8">
            <w:pPr>
              <w:spacing w:line="360" w:lineRule="exact"/>
              <w:jc w:val="center"/>
              <w:rPr>
                <w:rFonts w:hint="eastAsia" w:ascii="仿宋_GB2312" w:hAnsi="仿宋_GB2312" w:eastAsia="仿宋_GB2312" w:cs="仿宋_GB2312"/>
                <w:color w:val="auto"/>
                <w:sz w:val="32"/>
                <w:szCs w:val="32"/>
                <w:highlight w:val="none"/>
              </w:rPr>
            </w:pPr>
          </w:p>
        </w:tc>
      </w:tr>
    </w:tbl>
    <w:p w14:paraId="0E14823E">
      <w:pPr>
        <w:keepNext w:val="0"/>
        <w:keepLines w:val="0"/>
        <w:pageBreakBefore w:val="0"/>
        <w:widowControl w:val="0"/>
        <w:kinsoku/>
        <w:wordWrap/>
        <w:overflowPunct/>
        <w:topLinePunct w:val="0"/>
        <w:autoSpaceDE/>
        <w:autoSpaceDN/>
        <w:bidi w:val="0"/>
        <w:snapToGrid/>
        <w:spacing w:line="560" w:lineRule="exact"/>
        <w:ind w:left="0" w:right="0" w:firstLine="640" w:firstLineChars="200"/>
        <w:rPr>
          <w:rFonts w:hint="eastAsia" w:ascii="仿宋_GB2312" w:hAnsi="仿宋_GB2312" w:eastAsia="仿宋_GB2312" w:cs="仿宋_GB2312"/>
          <w:bCs/>
          <w:color w:val="auto"/>
          <w:kern w:val="0"/>
          <w:sz w:val="32"/>
          <w:szCs w:val="32"/>
          <w:highlight w:val="none"/>
        </w:rPr>
      </w:pPr>
      <w:r>
        <w:rPr>
          <w:rFonts w:hint="eastAsia" w:ascii="仿宋_GB2312" w:hAnsi="仿宋_GB2312" w:eastAsia="仿宋_GB2312" w:cs="仿宋_GB2312"/>
          <w:color w:val="auto"/>
          <w:sz w:val="32"/>
          <w:szCs w:val="32"/>
          <w:highlight w:val="none"/>
        </w:rPr>
        <w:t>2.招标人每季度对</w:t>
      </w:r>
      <w:r>
        <w:rPr>
          <w:rFonts w:hint="eastAsia" w:ascii="仿宋_GB2312" w:hAnsi="仿宋_GB2312" w:eastAsia="仿宋_GB2312" w:cs="仿宋_GB2312"/>
          <w:color w:val="auto"/>
          <w:sz w:val="32"/>
          <w:szCs w:val="32"/>
          <w:highlight w:val="none"/>
          <w:lang w:eastAsia="zh-CN"/>
        </w:rPr>
        <w:t>服务商</w:t>
      </w:r>
      <w:r>
        <w:rPr>
          <w:rFonts w:hint="eastAsia" w:ascii="仿宋_GB2312" w:hAnsi="仿宋_GB2312" w:eastAsia="仿宋_GB2312" w:cs="仿宋_GB2312"/>
          <w:color w:val="auto"/>
          <w:sz w:val="32"/>
          <w:szCs w:val="32"/>
          <w:highlight w:val="none"/>
        </w:rPr>
        <w:t>提供的食堂经营服务进行一次考核，考核满分100分。</w:t>
      </w:r>
    </w:p>
    <w:p w14:paraId="3C246A37">
      <w:pPr>
        <w:keepNext w:val="0"/>
        <w:keepLines w:val="0"/>
        <w:pageBreakBefore w:val="0"/>
        <w:widowControl w:val="0"/>
        <w:kinsoku/>
        <w:wordWrap/>
        <w:overflowPunct/>
        <w:topLinePunct w:val="0"/>
        <w:autoSpaceDE/>
        <w:autoSpaceDN/>
        <w:bidi w:val="0"/>
        <w:snapToGrid/>
        <w:spacing w:line="560" w:lineRule="exact"/>
        <w:ind w:left="0" w:right="0"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（1）按季度对乙方进行考核，当月考核结果≥</w:t>
      </w:r>
      <w:r>
        <w:rPr>
          <w:rFonts w:hint="eastAsia" w:ascii="仿宋_GB2312" w:hAnsi="仿宋_GB2312" w:eastAsia="仿宋_GB2312" w:cs="仿宋_GB2312"/>
          <w:color w:val="auto"/>
          <w:sz w:val="32"/>
          <w:szCs w:val="32"/>
          <w:highlight w:val="none"/>
          <w:lang w:val="en-US" w:eastAsia="zh-CN"/>
        </w:rPr>
        <w:t>9</w:t>
      </w:r>
      <w:r>
        <w:rPr>
          <w:rFonts w:hint="eastAsia" w:ascii="仿宋_GB2312" w:hAnsi="仿宋_GB2312" w:eastAsia="仿宋_GB2312" w:cs="仿宋_GB2312"/>
          <w:color w:val="auto"/>
          <w:sz w:val="32"/>
          <w:szCs w:val="32"/>
          <w:highlight w:val="none"/>
        </w:rPr>
        <w:t>0分为合格。</w:t>
      </w:r>
    </w:p>
    <w:p w14:paraId="0F9751F7">
      <w:pPr>
        <w:keepNext w:val="0"/>
        <w:keepLines w:val="0"/>
        <w:pageBreakBefore w:val="0"/>
        <w:widowControl w:val="0"/>
        <w:kinsoku/>
        <w:wordWrap/>
        <w:overflowPunct/>
        <w:topLinePunct w:val="0"/>
        <w:autoSpaceDE/>
        <w:autoSpaceDN/>
        <w:bidi w:val="0"/>
        <w:snapToGrid/>
        <w:spacing w:line="560" w:lineRule="exact"/>
        <w:ind w:left="0" w:right="0"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（2）当季度考核结果≥</w:t>
      </w:r>
      <w:r>
        <w:rPr>
          <w:rFonts w:hint="eastAsia" w:ascii="仿宋_GB2312" w:hAnsi="仿宋_GB2312" w:eastAsia="仿宋_GB2312" w:cs="仿宋_GB2312"/>
          <w:color w:val="auto"/>
          <w:sz w:val="32"/>
          <w:szCs w:val="32"/>
          <w:highlight w:val="none"/>
          <w:lang w:val="en-US" w:eastAsia="zh-CN"/>
        </w:rPr>
        <w:t>8</w:t>
      </w:r>
      <w:r>
        <w:rPr>
          <w:rFonts w:hint="eastAsia" w:ascii="仿宋_GB2312" w:hAnsi="仿宋_GB2312" w:eastAsia="仿宋_GB2312" w:cs="仿宋_GB2312"/>
          <w:color w:val="auto"/>
          <w:sz w:val="32"/>
          <w:szCs w:val="32"/>
          <w:highlight w:val="none"/>
        </w:rPr>
        <w:t>0分且＜</w:t>
      </w:r>
      <w:r>
        <w:rPr>
          <w:rFonts w:hint="eastAsia" w:ascii="仿宋_GB2312" w:hAnsi="仿宋_GB2312" w:eastAsia="仿宋_GB2312" w:cs="仿宋_GB2312"/>
          <w:color w:val="auto"/>
          <w:sz w:val="32"/>
          <w:szCs w:val="32"/>
          <w:highlight w:val="none"/>
          <w:lang w:val="en-US" w:eastAsia="zh-CN"/>
        </w:rPr>
        <w:t>9</w:t>
      </w:r>
      <w:r>
        <w:rPr>
          <w:rFonts w:hint="eastAsia" w:ascii="仿宋_GB2312" w:hAnsi="仿宋_GB2312" w:eastAsia="仿宋_GB2312" w:cs="仿宋_GB2312"/>
          <w:color w:val="auto"/>
          <w:sz w:val="32"/>
          <w:szCs w:val="32"/>
          <w:highlight w:val="none"/>
        </w:rPr>
        <w:t>0分的，为初级警告，乙方必须对考核发现的问题在15日内完成整改。</w:t>
      </w:r>
    </w:p>
    <w:p w14:paraId="44A9C777">
      <w:pPr>
        <w:keepNext w:val="0"/>
        <w:keepLines w:val="0"/>
        <w:pageBreakBefore w:val="0"/>
        <w:widowControl w:val="0"/>
        <w:kinsoku/>
        <w:wordWrap/>
        <w:overflowPunct/>
        <w:topLinePunct w:val="0"/>
        <w:autoSpaceDE/>
        <w:autoSpaceDN/>
        <w:bidi w:val="0"/>
        <w:snapToGrid/>
        <w:spacing w:line="560" w:lineRule="exact"/>
        <w:ind w:left="0" w:right="0"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（3）当季度考核结果≥</w:t>
      </w:r>
      <w:r>
        <w:rPr>
          <w:rFonts w:hint="eastAsia" w:ascii="仿宋_GB2312" w:hAnsi="仿宋_GB2312" w:eastAsia="仿宋_GB2312" w:cs="仿宋_GB2312"/>
          <w:color w:val="auto"/>
          <w:sz w:val="32"/>
          <w:szCs w:val="32"/>
          <w:highlight w:val="none"/>
          <w:lang w:val="en-US" w:eastAsia="zh-CN"/>
        </w:rPr>
        <w:t>7</w:t>
      </w:r>
      <w:r>
        <w:rPr>
          <w:rFonts w:hint="eastAsia" w:ascii="仿宋_GB2312" w:hAnsi="仿宋_GB2312" w:eastAsia="仿宋_GB2312" w:cs="仿宋_GB2312"/>
          <w:color w:val="auto"/>
          <w:sz w:val="32"/>
          <w:szCs w:val="32"/>
          <w:highlight w:val="none"/>
        </w:rPr>
        <w:t>0分且＜</w:t>
      </w:r>
      <w:r>
        <w:rPr>
          <w:rFonts w:hint="eastAsia" w:ascii="仿宋_GB2312" w:hAnsi="仿宋_GB2312" w:eastAsia="仿宋_GB2312" w:cs="仿宋_GB2312"/>
          <w:color w:val="auto"/>
          <w:sz w:val="32"/>
          <w:szCs w:val="32"/>
          <w:highlight w:val="none"/>
          <w:lang w:val="en-US" w:eastAsia="zh-CN"/>
        </w:rPr>
        <w:t>8</w:t>
      </w:r>
      <w:r>
        <w:rPr>
          <w:rFonts w:hint="eastAsia" w:ascii="仿宋_GB2312" w:hAnsi="仿宋_GB2312" w:eastAsia="仿宋_GB2312" w:cs="仿宋_GB2312"/>
          <w:color w:val="auto"/>
          <w:sz w:val="32"/>
          <w:szCs w:val="32"/>
          <w:highlight w:val="none"/>
        </w:rPr>
        <w:t>0分的，为二级警告，责令整改。</w:t>
      </w:r>
    </w:p>
    <w:p w14:paraId="00209C92">
      <w:pPr>
        <w:keepNext w:val="0"/>
        <w:keepLines w:val="0"/>
        <w:pageBreakBefore w:val="0"/>
        <w:widowControl w:val="0"/>
        <w:kinsoku/>
        <w:wordWrap/>
        <w:overflowPunct/>
        <w:topLinePunct w:val="0"/>
        <w:autoSpaceDE/>
        <w:autoSpaceDN/>
        <w:bidi w:val="0"/>
        <w:snapToGrid/>
        <w:spacing w:line="560" w:lineRule="exact"/>
        <w:ind w:left="0" w:right="0"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（4）</w:t>
      </w:r>
      <w:r>
        <w:rPr>
          <w:rFonts w:hint="eastAsia" w:ascii="仿宋_GB2312" w:hAnsi="仿宋_GB2312" w:eastAsia="仿宋_GB2312" w:cs="仿宋_GB2312"/>
          <w:color w:val="auto"/>
          <w:kern w:val="0"/>
          <w:sz w:val="32"/>
          <w:szCs w:val="32"/>
          <w:highlight w:val="none"/>
        </w:rPr>
        <w:t>当</w:t>
      </w:r>
      <w:r>
        <w:rPr>
          <w:rFonts w:hint="eastAsia" w:ascii="仿宋_GB2312" w:hAnsi="仿宋_GB2312" w:eastAsia="仿宋_GB2312" w:cs="仿宋_GB2312"/>
          <w:color w:val="auto"/>
          <w:sz w:val="32"/>
          <w:szCs w:val="32"/>
          <w:highlight w:val="none"/>
        </w:rPr>
        <w:t>季度</w:t>
      </w:r>
      <w:r>
        <w:rPr>
          <w:rFonts w:hint="eastAsia" w:ascii="仿宋_GB2312" w:hAnsi="仿宋_GB2312" w:eastAsia="仿宋_GB2312" w:cs="仿宋_GB2312"/>
          <w:color w:val="auto"/>
          <w:kern w:val="0"/>
          <w:sz w:val="32"/>
          <w:szCs w:val="32"/>
          <w:highlight w:val="none"/>
        </w:rPr>
        <w:t>考核结果＜</w:t>
      </w:r>
      <w:r>
        <w:rPr>
          <w:rFonts w:hint="eastAsia" w:ascii="仿宋_GB2312" w:hAnsi="仿宋_GB2312" w:eastAsia="仿宋_GB2312" w:cs="仿宋_GB2312"/>
          <w:color w:val="auto"/>
          <w:kern w:val="0"/>
          <w:sz w:val="32"/>
          <w:szCs w:val="32"/>
          <w:highlight w:val="none"/>
          <w:lang w:val="en-US" w:eastAsia="zh-CN"/>
        </w:rPr>
        <w:t>7</w:t>
      </w:r>
      <w:r>
        <w:rPr>
          <w:rFonts w:hint="eastAsia" w:ascii="仿宋_GB2312" w:hAnsi="仿宋_GB2312" w:eastAsia="仿宋_GB2312" w:cs="仿宋_GB2312"/>
          <w:color w:val="auto"/>
          <w:kern w:val="0"/>
          <w:sz w:val="32"/>
          <w:szCs w:val="32"/>
          <w:highlight w:val="none"/>
        </w:rPr>
        <w:t>0分的，按</w:t>
      </w:r>
      <w:r>
        <w:rPr>
          <w:rFonts w:hint="eastAsia" w:ascii="仿宋_GB2312" w:hAnsi="仿宋_GB2312" w:eastAsia="仿宋_GB2312" w:cs="仿宋_GB2312"/>
          <w:color w:val="auto"/>
          <w:sz w:val="32"/>
          <w:szCs w:val="32"/>
          <w:highlight w:val="none"/>
        </w:rPr>
        <w:t>扣除</w:t>
      </w:r>
      <w:r>
        <w:rPr>
          <w:rFonts w:hint="eastAsia" w:ascii="仿宋_GB2312" w:hAnsi="仿宋_GB2312" w:eastAsia="仿宋_GB2312" w:cs="仿宋_GB2312"/>
          <w:color w:val="auto"/>
          <w:sz w:val="32"/>
          <w:szCs w:val="32"/>
          <w:highlight w:val="none"/>
          <w:lang w:val="en-US" w:eastAsia="zh-CN"/>
        </w:rPr>
        <w:t>1</w:t>
      </w:r>
      <w:r>
        <w:rPr>
          <w:rFonts w:hint="eastAsia" w:ascii="仿宋_GB2312" w:hAnsi="仿宋_GB2312" w:eastAsia="仿宋_GB2312" w:cs="仿宋_GB2312"/>
          <w:color w:val="auto"/>
          <w:sz w:val="32"/>
          <w:szCs w:val="32"/>
          <w:highlight w:val="none"/>
        </w:rPr>
        <w:t>%履约保证金</w:t>
      </w:r>
      <w:r>
        <w:rPr>
          <w:rFonts w:hint="eastAsia" w:ascii="仿宋_GB2312" w:hAnsi="仿宋_GB2312" w:eastAsia="仿宋_GB2312" w:cs="仿宋_GB2312"/>
          <w:color w:val="auto"/>
          <w:kern w:val="0"/>
          <w:sz w:val="32"/>
          <w:szCs w:val="32"/>
          <w:highlight w:val="none"/>
        </w:rPr>
        <w:t>；连续2个月考核结果均＜</w:t>
      </w:r>
      <w:r>
        <w:rPr>
          <w:rFonts w:hint="eastAsia" w:ascii="仿宋_GB2312" w:hAnsi="仿宋_GB2312" w:eastAsia="仿宋_GB2312" w:cs="仿宋_GB2312"/>
          <w:color w:val="auto"/>
          <w:kern w:val="0"/>
          <w:sz w:val="32"/>
          <w:szCs w:val="32"/>
          <w:highlight w:val="none"/>
          <w:lang w:val="en-US" w:eastAsia="zh-CN"/>
        </w:rPr>
        <w:t>7</w:t>
      </w:r>
      <w:r>
        <w:rPr>
          <w:rFonts w:hint="eastAsia" w:ascii="仿宋_GB2312" w:hAnsi="仿宋_GB2312" w:eastAsia="仿宋_GB2312" w:cs="仿宋_GB2312"/>
          <w:color w:val="auto"/>
          <w:kern w:val="0"/>
          <w:sz w:val="32"/>
          <w:szCs w:val="32"/>
          <w:highlight w:val="none"/>
        </w:rPr>
        <w:t>0分的终止食堂经营</w:t>
      </w:r>
      <w:r>
        <w:rPr>
          <w:rFonts w:hint="eastAsia" w:ascii="仿宋_GB2312" w:hAnsi="仿宋_GB2312" w:eastAsia="仿宋_GB2312" w:cs="仿宋_GB2312"/>
          <w:color w:val="auto"/>
          <w:sz w:val="32"/>
          <w:szCs w:val="32"/>
          <w:highlight w:val="none"/>
        </w:rPr>
        <w:t>管理</w:t>
      </w:r>
      <w:r>
        <w:rPr>
          <w:rFonts w:hint="eastAsia" w:ascii="仿宋_GB2312" w:hAnsi="仿宋_GB2312" w:eastAsia="仿宋_GB2312" w:cs="仿宋_GB2312"/>
          <w:color w:val="auto"/>
          <w:kern w:val="0"/>
          <w:sz w:val="32"/>
          <w:szCs w:val="32"/>
          <w:highlight w:val="none"/>
        </w:rPr>
        <w:t>服务合同</w:t>
      </w:r>
      <w:r>
        <w:rPr>
          <w:rFonts w:hint="eastAsia" w:ascii="仿宋_GB2312" w:hAnsi="仿宋_GB2312" w:eastAsia="仿宋_GB2312" w:cs="仿宋_GB2312"/>
          <w:color w:val="auto"/>
          <w:sz w:val="32"/>
          <w:szCs w:val="32"/>
          <w:highlight w:val="none"/>
        </w:rPr>
        <w:t>，造成的一切不利后果由乙方自行承担；给甲方造成经济等方面损失的，乙方相应进行赔偿。</w:t>
      </w:r>
    </w:p>
    <w:p w14:paraId="245B402A">
      <w:pPr>
        <w:keepNext w:val="0"/>
        <w:keepLines w:val="0"/>
        <w:pageBreakBefore w:val="0"/>
        <w:widowControl w:val="0"/>
        <w:kinsoku/>
        <w:wordWrap/>
        <w:overflowPunct/>
        <w:topLinePunct w:val="0"/>
        <w:autoSpaceDE/>
        <w:autoSpaceDN/>
        <w:bidi w:val="0"/>
        <w:snapToGrid/>
        <w:spacing w:line="560" w:lineRule="exact"/>
        <w:ind w:left="0" w:right="0"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3.</w:t>
      </w:r>
      <w:r>
        <w:rPr>
          <w:rFonts w:hint="eastAsia" w:ascii="仿宋_GB2312" w:hAnsi="仿宋_GB2312" w:eastAsia="仿宋_GB2312" w:cs="仿宋_GB2312"/>
          <w:color w:val="auto"/>
          <w:sz w:val="32"/>
          <w:szCs w:val="32"/>
          <w:highlight w:val="none"/>
          <w:lang w:eastAsia="zh-CN"/>
        </w:rPr>
        <w:t>服务商</w:t>
      </w:r>
      <w:r>
        <w:rPr>
          <w:rFonts w:hint="eastAsia" w:ascii="仿宋_GB2312" w:hAnsi="仿宋_GB2312" w:eastAsia="仿宋_GB2312" w:cs="仿宋_GB2312"/>
          <w:color w:val="auto"/>
          <w:sz w:val="32"/>
          <w:szCs w:val="32"/>
          <w:highlight w:val="none"/>
        </w:rPr>
        <w:t>在经营过程中存在以下情形的，招标人有权解除合同，造成的一切不利后果由</w:t>
      </w:r>
      <w:r>
        <w:rPr>
          <w:rFonts w:hint="eastAsia" w:ascii="仿宋_GB2312" w:hAnsi="仿宋_GB2312" w:eastAsia="仿宋_GB2312" w:cs="仿宋_GB2312"/>
          <w:color w:val="auto"/>
          <w:sz w:val="32"/>
          <w:szCs w:val="32"/>
          <w:highlight w:val="none"/>
          <w:lang w:eastAsia="zh-CN"/>
        </w:rPr>
        <w:t>服务商</w:t>
      </w:r>
      <w:r>
        <w:rPr>
          <w:rFonts w:hint="eastAsia" w:ascii="仿宋_GB2312" w:hAnsi="仿宋_GB2312" w:eastAsia="仿宋_GB2312" w:cs="仿宋_GB2312"/>
          <w:color w:val="auto"/>
          <w:sz w:val="32"/>
          <w:szCs w:val="32"/>
          <w:highlight w:val="none"/>
        </w:rPr>
        <w:t xml:space="preserve">承担： </w:t>
      </w:r>
    </w:p>
    <w:p w14:paraId="782FD139">
      <w:pPr>
        <w:keepNext w:val="0"/>
        <w:keepLines w:val="0"/>
        <w:pageBreakBefore w:val="0"/>
        <w:widowControl w:val="0"/>
        <w:kinsoku/>
        <w:wordWrap/>
        <w:overflowPunct/>
        <w:topLinePunct w:val="0"/>
        <w:autoSpaceDE/>
        <w:autoSpaceDN/>
        <w:bidi w:val="0"/>
        <w:snapToGrid/>
        <w:spacing w:line="560" w:lineRule="exact"/>
        <w:ind w:left="0" w:right="0"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（1）发生食物中毒或重大安全生产责任事故。</w:t>
      </w:r>
    </w:p>
    <w:p w14:paraId="0BCB0E15">
      <w:pPr>
        <w:keepNext w:val="0"/>
        <w:keepLines w:val="0"/>
        <w:pageBreakBefore w:val="0"/>
        <w:widowControl w:val="0"/>
        <w:kinsoku/>
        <w:wordWrap/>
        <w:overflowPunct/>
        <w:topLinePunct w:val="0"/>
        <w:autoSpaceDE/>
        <w:autoSpaceDN/>
        <w:bidi w:val="0"/>
        <w:snapToGrid/>
        <w:spacing w:line="560" w:lineRule="exact"/>
        <w:ind w:left="0" w:right="0"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（2）因食品价格、质量、卫生和服务等引发社会恶劣影响的。</w:t>
      </w:r>
    </w:p>
    <w:p w14:paraId="0F19F093">
      <w:pPr>
        <w:keepNext w:val="0"/>
        <w:keepLines w:val="0"/>
        <w:pageBreakBefore w:val="0"/>
        <w:widowControl w:val="0"/>
        <w:kinsoku/>
        <w:wordWrap/>
        <w:overflowPunct/>
        <w:topLinePunct w:val="0"/>
        <w:autoSpaceDE/>
        <w:autoSpaceDN/>
        <w:bidi w:val="0"/>
        <w:snapToGrid/>
        <w:spacing w:line="560" w:lineRule="exact"/>
        <w:ind w:left="0" w:right="0"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（3）擅自停止经营的。</w:t>
      </w:r>
    </w:p>
    <w:p w14:paraId="3FB0F865">
      <w:pPr>
        <w:keepNext w:val="0"/>
        <w:keepLines w:val="0"/>
        <w:pageBreakBefore w:val="0"/>
        <w:widowControl w:val="0"/>
        <w:kinsoku/>
        <w:wordWrap/>
        <w:overflowPunct/>
        <w:topLinePunct w:val="0"/>
        <w:autoSpaceDE/>
        <w:autoSpaceDN/>
        <w:bidi w:val="0"/>
        <w:snapToGrid/>
        <w:spacing w:line="560" w:lineRule="exact"/>
        <w:ind w:left="0" w:right="0"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（4）经营过程中存在转包、分包、联合经营或挂靠经营行为的。</w:t>
      </w:r>
    </w:p>
    <w:p w14:paraId="088DFDA6">
      <w:pPr>
        <w:keepNext w:val="0"/>
        <w:keepLines w:val="0"/>
        <w:pageBreakBefore w:val="0"/>
        <w:widowControl w:val="0"/>
        <w:kinsoku/>
        <w:wordWrap/>
        <w:overflowPunct/>
        <w:topLinePunct w:val="0"/>
        <w:autoSpaceDE/>
        <w:autoSpaceDN/>
        <w:bidi w:val="0"/>
        <w:snapToGrid/>
        <w:spacing w:line="560" w:lineRule="exact"/>
        <w:ind w:left="0" w:right="0"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（5）在经营过程中，因中标人过失导致一方或双方被行政处分或其他违反法律法规导致严重后果的行为的。</w:t>
      </w:r>
    </w:p>
    <w:p w14:paraId="224D3EEC">
      <w:pPr>
        <w:keepNext w:val="0"/>
        <w:keepLines w:val="0"/>
        <w:pageBreakBefore w:val="0"/>
        <w:widowControl w:val="0"/>
        <w:kinsoku/>
        <w:wordWrap/>
        <w:overflowPunct/>
        <w:topLinePunct w:val="0"/>
        <w:autoSpaceDE/>
        <w:autoSpaceDN/>
        <w:bidi w:val="0"/>
        <w:snapToGrid/>
        <w:spacing w:line="560" w:lineRule="exact"/>
        <w:ind w:left="0" w:right="0"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（6）在经营过程中，存在调换食材、掺杂</w:t>
      </w:r>
      <w:r>
        <w:rPr>
          <w:rFonts w:hint="eastAsia" w:ascii="仿宋_GB2312" w:hAnsi="仿宋_GB2312" w:eastAsia="仿宋_GB2312" w:cs="仿宋_GB2312"/>
          <w:color w:val="auto"/>
          <w:sz w:val="32"/>
          <w:szCs w:val="32"/>
          <w:highlight w:val="none"/>
          <w:lang w:eastAsia="zh-CN"/>
        </w:rPr>
        <w:t>作假</w:t>
      </w:r>
      <w:r>
        <w:rPr>
          <w:rFonts w:hint="eastAsia" w:ascii="仿宋_GB2312" w:hAnsi="仿宋_GB2312" w:eastAsia="仿宋_GB2312" w:cs="仿宋_GB2312"/>
          <w:color w:val="auto"/>
          <w:sz w:val="32"/>
          <w:szCs w:val="32"/>
          <w:highlight w:val="none"/>
        </w:rPr>
        <w:t>、销售无证食品、未按规定经营范围等违规行为，经招标人限期整改依然无效。 </w:t>
      </w:r>
    </w:p>
    <w:p w14:paraId="3F84E644">
      <w:pPr>
        <w:keepNext w:val="0"/>
        <w:keepLines w:val="0"/>
        <w:pageBreakBefore w:val="0"/>
        <w:widowControl w:val="0"/>
        <w:kinsoku/>
        <w:wordWrap/>
        <w:overflowPunct/>
        <w:topLinePunct w:val="0"/>
        <w:autoSpaceDE/>
        <w:autoSpaceDN/>
        <w:bidi w:val="0"/>
        <w:snapToGrid/>
        <w:spacing w:line="560" w:lineRule="exact"/>
        <w:ind w:left="0" w:right="0"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（7）其他违反合同规定，拒不整改或整改后仍未到达要求的。</w:t>
      </w:r>
    </w:p>
    <w:p w14:paraId="207589A9">
      <w:pPr>
        <w:pStyle w:val="4"/>
        <w:keepNext w:val="0"/>
        <w:keepLines w:val="0"/>
        <w:pageBreakBefore w:val="0"/>
        <w:widowControl w:val="0"/>
        <w:kinsoku/>
        <w:wordWrap/>
        <w:overflowPunct/>
        <w:topLinePunct w:val="0"/>
        <w:autoSpaceDE/>
        <w:autoSpaceDN/>
        <w:bidi w:val="0"/>
        <w:snapToGrid/>
        <w:spacing w:line="560" w:lineRule="exact"/>
        <w:ind w:left="0" w:right="0" w:firstLine="482"/>
        <w:rPr>
          <w:rFonts w:hint="eastAsia" w:ascii="仿宋_GB2312" w:hAnsi="仿宋_GB2312" w:eastAsia="仿宋_GB2312" w:cs="仿宋_GB2312"/>
          <w:b/>
          <w:bCs w:val="0"/>
          <w:color w:val="auto"/>
          <w:sz w:val="32"/>
          <w:szCs w:val="32"/>
          <w:highlight w:val="none"/>
        </w:rPr>
      </w:pPr>
      <w:r>
        <w:rPr>
          <w:rFonts w:hint="eastAsia" w:ascii="仿宋_GB2312" w:hAnsi="仿宋_GB2312" w:eastAsia="仿宋_GB2312" w:cs="仿宋_GB2312"/>
          <w:b/>
          <w:bCs w:val="0"/>
          <w:color w:val="auto"/>
          <w:sz w:val="32"/>
          <w:szCs w:val="32"/>
          <w:highlight w:val="none"/>
          <w:lang w:val="en-US" w:eastAsia="zh-CN"/>
        </w:rPr>
        <w:t>八</w:t>
      </w:r>
      <w:r>
        <w:rPr>
          <w:rFonts w:hint="eastAsia" w:ascii="仿宋_GB2312" w:hAnsi="仿宋_GB2312" w:eastAsia="仿宋_GB2312" w:cs="仿宋_GB2312"/>
          <w:b/>
          <w:bCs w:val="0"/>
          <w:color w:val="auto"/>
          <w:sz w:val="32"/>
          <w:szCs w:val="32"/>
          <w:highlight w:val="none"/>
        </w:rPr>
        <w:t>、合同解除情形</w:t>
      </w:r>
    </w:p>
    <w:p w14:paraId="1E03912D">
      <w:pPr>
        <w:pStyle w:val="4"/>
        <w:keepNext w:val="0"/>
        <w:keepLines w:val="0"/>
        <w:pageBreakBefore w:val="0"/>
        <w:widowControl w:val="0"/>
        <w:kinsoku/>
        <w:wordWrap/>
        <w:overflowPunct/>
        <w:topLinePunct w:val="0"/>
        <w:autoSpaceDE/>
        <w:autoSpaceDN/>
        <w:bidi w:val="0"/>
        <w:snapToGrid/>
        <w:spacing w:line="560" w:lineRule="exact"/>
        <w:ind w:left="0" w:right="0" w:firstLine="482"/>
        <w:rPr>
          <w:rFonts w:hint="eastAsia" w:ascii="仿宋_GB2312" w:hAnsi="仿宋_GB2312" w:eastAsia="仿宋_GB2312" w:cs="仿宋_GB2312"/>
          <w:b w:val="0"/>
          <w:bCs/>
          <w:color w:val="auto"/>
          <w:sz w:val="32"/>
          <w:szCs w:val="32"/>
          <w:highlight w:val="none"/>
        </w:rPr>
      </w:pPr>
      <w:r>
        <w:rPr>
          <w:rFonts w:hint="eastAsia" w:ascii="仿宋_GB2312" w:hAnsi="仿宋_GB2312" w:eastAsia="仿宋_GB2312" w:cs="仿宋_GB2312"/>
          <w:b w:val="0"/>
          <w:bCs/>
          <w:color w:val="auto"/>
          <w:sz w:val="32"/>
          <w:szCs w:val="32"/>
          <w:highlight w:val="none"/>
          <w:lang w:eastAsia="zh-CN"/>
        </w:rPr>
        <w:t>服务商</w:t>
      </w:r>
      <w:r>
        <w:rPr>
          <w:rFonts w:hint="eastAsia" w:ascii="仿宋_GB2312" w:hAnsi="仿宋_GB2312" w:eastAsia="仿宋_GB2312" w:cs="仿宋_GB2312"/>
          <w:b w:val="0"/>
          <w:bCs/>
          <w:color w:val="auto"/>
          <w:sz w:val="32"/>
          <w:szCs w:val="32"/>
          <w:highlight w:val="none"/>
        </w:rPr>
        <w:t>有下列情形之一的，招标人有权解除合同，并追究其违约责任：</w:t>
      </w:r>
    </w:p>
    <w:p w14:paraId="4447C0DB">
      <w:pPr>
        <w:pStyle w:val="4"/>
        <w:keepNext w:val="0"/>
        <w:keepLines w:val="0"/>
        <w:pageBreakBefore w:val="0"/>
        <w:widowControl w:val="0"/>
        <w:kinsoku/>
        <w:wordWrap/>
        <w:overflowPunct/>
        <w:topLinePunct w:val="0"/>
        <w:autoSpaceDE/>
        <w:autoSpaceDN/>
        <w:bidi w:val="0"/>
        <w:snapToGrid/>
        <w:spacing w:line="560" w:lineRule="exact"/>
        <w:ind w:left="0" w:right="0" w:firstLine="482"/>
        <w:rPr>
          <w:rFonts w:hint="eastAsia" w:ascii="仿宋_GB2312" w:hAnsi="仿宋_GB2312" w:eastAsia="仿宋_GB2312" w:cs="仿宋_GB2312"/>
          <w:b w:val="0"/>
          <w:bCs/>
          <w:color w:val="auto"/>
          <w:sz w:val="32"/>
          <w:szCs w:val="32"/>
          <w:highlight w:val="none"/>
        </w:rPr>
      </w:pPr>
      <w:r>
        <w:rPr>
          <w:rFonts w:hint="eastAsia" w:ascii="仿宋_GB2312" w:hAnsi="仿宋_GB2312" w:eastAsia="仿宋_GB2312" w:cs="仿宋_GB2312"/>
          <w:b w:val="0"/>
          <w:bCs/>
          <w:color w:val="auto"/>
          <w:sz w:val="32"/>
          <w:szCs w:val="32"/>
          <w:highlight w:val="none"/>
        </w:rPr>
        <w:t>1.发生食物中毒或重大食品安全事故；</w:t>
      </w:r>
    </w:p>
    <w:p w14:paraId="204AB250">
      <w:pPr>
        <w:pStyle w:val="4"/>
        <w:keepNext w:val="0"/>
        <w:keepLines w:val="0"/>
        <w:pageBreakBefore w:val="0"/>
        <w:widowControl w:val="0"/>
        <w:kinsoku/>
        <w:wordWrap/>
        <w:overflowPunct/>
        <w:topLinePunct w:val="0"/>
        <w:autoSpaceDE/>
        <w:autoSpaceDN/>
        <w:bidi w:val="0"/>
        <w:snapToGrid/>
        <w:spacing w:line="560" w:lineRule="exact"/>
        <w:ind w:left="0" w:right="0" w:firstLine="482"/>
        <w:rPr>
          <w:rFonts w:hint="eastAsia" w:ascii="仿宋_GB2312" w:hAnsi="仿宋_GB2312" w:eastAsia="仿宋_GB2312" w:cs="仿宋_GB2312"/>
          <w:b w:val="0"/>
          <w:bCs/>
          <w:color w:val="auto"/>
          <w:sz w:val="32"/>
          <w:szCs w:val="32"/>
          <w:highlight w:val="none"/>
        </w:rPr>
      </w:pPr>
      <w:r>
        <w:rPr>
          <w:rFonts w:hint="eastAsia" w:ascii="仿宋_GB2312" w:hAnsi="仿宋_GB2312" w:eastAsia="仿宋_GB2312" w:cs="仿宋_GB2312"/>
          <w:b w:val="0"/>
          <w:bCs/>
          <w:color w:val="auto"/>
          <w:sz w:val="32"/>
          <w:szCs w:val="32"/>
          <w:highlight w:val="none"/>
        </w:rPr>
        <w:t>2.因食品价格、质量、卫生、服务等引发严重不良影响；</w:t>
      </w:r>
    </w:p>
    <w:p w14:paraId="059CB495">
      <w:pPr>
        <w:pStyle w:val="4"/>
        <w:keepNext w:val="0"/>
        <w:keepLines w:val="0"/>
        <w:pageBreakBefore w:val="0"/>
        <w:widowControl w:val="0"/>
        <w:kinsoku/>
        <w:wordWrap/>
        <w:overflowPunct/>
        <w:topLinePunct w:val="0"/>
        <w:autoSpaceDE/>
        <w:autoSpaceDN/>
        <w:bidi w:val="0"/>
        <w:snapToGrid/>
        <w:spacing w:line="560" w:lineRule="exact"/>
        <w:ind w:left="0" w:right="0" w:firstLine="482"/>
        <w:rPr>
          <w:rFonts w:hint="eastAsia" w:ascii="仿宋_GB2312" w:hAnsi="仿宋_GB2312" w:eastAsia="仿宋_GB2312" w:cs="仿宋_GB2312"/>
          <w:b w:val="0"/>
          <w:bCs/>
          <w:color w:val="auto"/>
          <w:sz w:val="32"/>
          <w:szCs w:val="32"/>
          <w:highlight w:val="none"/>
        </w:rPr>
      </w:pPr>
      <w:r>
        <w:rPr>
          <w:rFonts w:hint="eastAsia" w:ascii="仿宋_GB2312" w:hAnsi="仿宋_GB2312" w:eastAsia="仿宋_GB2312" w:cs="仿宋_GB2312"/>
          <w:b w:val="0"/>
          <w:bCs/>
          <w:color w:val="auto"/>
          <w:sz w:val="32"/>
          <w:szCs w:val="32"/>
          <w:highlight w:val="none"/>
        </w:rPr>
        <w:t>3.擅自停止经营或无故中断供餐；</w:t>
      </w:r>
    </w:p>
    <w:p w14:paraId="591C4D7C">
      <w:pPr>
        <w:pStyle w:val="4"/>
        <w:keepNext w:val="0"/>
        <w:keepLines w:val="0"/>
        <w:pageBreakBefore w:val="0"/>
        <w:widowControl w:val="0"/>
        <w:kinsoku/>
        <w:wordWrap/>
        <w:overflowPunct/>
        <w:topLinePunct w:val="0"/>
        <w:autoSpaceDE/>
        <w:autoSpaceDN/>
        <w:bidi w:val="0"/>
        <w:snapToGrid/>
        <w:spacing w:line="560" w:lineRule="exact"/>
        <w:ind w:left="0" w:right="0" w:firstLine="482"/>
        <w:rPr>
          <w:rFonts w:hint="eastAsia" w:ascii="仿宋_GB2312" w:hAnsi="仿宋_GB2312" w:eastAsia="仿宋_GB2312" w:cs="仿宋_GB2312"/>
          <w:b w:val="0"/>
          <w:bCs/>
          <w:color w:val="auto"/>
          <w:sz w:val="32"/>
          <w:szCs w:val="32"/>
          <w:highlight w:val="none"/>
        </w:rPr>
      </w:pPr>
      <w:r>
        <w:rPr>
          <w:rFonts w:hint="eastAsia" w:ascii="仿宋_GB2312" w:hAnsi="仿宋_GB2312" w:eastAsia="仿宋_GB2312" w:cs="仿宋_GB2312"/>
          <w:b w:val="0"/>
          <w:bCs/>
          <w:color w:val="auto"/>
          <w:sz w:val="32"/>
          <w:szCs w:val="32"/>
          <w:highlight w:val="none"/>
        </w:rPr>
        <w:t>4.转包、分包、挂靠或联合经营；</w:t>
      </w:r>
    </w:p>
    <w:p w14:paraId="4AEF61AA">
      <w:pPr>
        <w:pStyle w:val="4"/>
        <w:keepNext w:val="0"/>
        <w:keepLines w:val="0"/>
        <w:pageBreakBefore w:val="0"/>
        <w:widowControl w:val="0"/>
        <w:kinsoku/>
        <w:wordWrap/>
        <w:overflowPunct/>
        <w:topLinePunct w:val="0"/>
        <w:autoSpaceDE/>
        <w:autoSpaceDN/>
        <w:bidi w:val="0"/>
        <w:snapToGrid/>
        <w:spacing w:line="560" w:lineRule="exact"/>
        <w:ind w:left="0" w:right="0" w:firstLine="482"/>
        <w:rPr>
          <w:rFonts w:hint="eastAsia" w:ascii="仿宋_GB2312" w:hAnsi="仿宋_GB2312" w:eastAsia="仿宋_GB2312" w:cs="仿宋_GB2312"/>
          <w:b w:val="0"/>
          <w:bCs/>
          <w:color w:val="auto"/>
          <w:sz w:val="32"/>
          <w:szCs w:val="32"/>
          <w:highlight w:val="none"/>
        </w:rPr>
      </w:pPr>
      <w:r>
        <w:rPr>
          <w:rFonts w:hint="eastAsia" w:ascii="仿宋_GB2312" w:hAnsi="仿宋_GB2312" w:eastAsia="仿宋_GB2312" w:cs="仿宋_GB2312"/>
          <w:b w:val="0"/>
          <w:bCs/>
          <w:color w:val="auto"/>
          <w:sz w:val="32"/>
          <w:szCs w:val="32"/>
          <w:highlight w:val="none"/>
        </w:rPr>
        <w:t>5.擅自改变经营场所用途或从事与餐饮无关的经营活动；</w:t>
      </w:r>
    </w:p>
    <w:p w14:paraId="67FC857B">
      <w:pPr>
        <w:pStyle w:val="4"/>
        <w:keepNext w:val="0"/>
        <w:keepLines w:val="0"/>
        <w:pageBreakBefore w:val="0"/>
        <w:widowControl w:val="0"/>
        <w:kinsoku/>
        <w:wordWrap/>
        <w:overflowPunct/>
        <w:topLinePunct w:val="0"/>
        <w:autoSpaceDE/>
        <w:autoSpaceDN/>
        <w:bidi w:val="0"/>
        <w:snapToGrid/>
        <w:spacing w:line="560" w:lineRule="exact"/>
        <w:ind w:left="0" w:right="0" w:firstLine="482"/>
        <w:rPr>
          <w:rFonts w:hint="eastAsia" w:ascii="仿宋_GB2312" w:hAnsi="仿宋_GB2312" w:eastAsia="仿宋_GB2312" w:cs="仿宋_GB2312"/>
          <w:b w:val="0"/>
          <w:bCs/>
          <w:color w:val="auto"/>
          <w:sz w:val="32"/>
          <w:szCs w:val="32"/>
          <w:highlight w:val="none"/>
        </w:rPr>
      </w:pPr>
      <w:r>
        <w:rPr>
          <w:rFonts w:hint="eastAsia" w:ascii="仿宋_GB2312" w:hAnsi="仿宋_GB2312" w:eastAsia="仿宋_GB2312" w:cs="仿宋_GB2312"/>
          <w:b w:val="0"/>
          <w:bCs/>
          <w:color w:val="auto"/>
          <w:sz w:val="32"/>
          <w:szCs w:val="32"/>
          <w:highlight w:val="none"/>
        </w:rPr>
        <w:t>6.使用不符合要求的场地，或场地租赁、消防、环保、食品安全等手续不合法，经整改仍不符合要求；</w:t>
      </w:r>
    </w:p>
    <w:p w14:paraId="0B748ADE">
      <w:pPr>
        <w:pStyle w:val="4"/>
        <w:keepNext w:val="0"/>
        <w:keepLines w:val="0"/>
        <w:pageBreakBefore w:val="0"/>
        <w:widowControl w:val="0"/>
        <w:kinsoku/>
        <w:wordWrap/>
        <w:overflowPunct/>
        <w:topLinePunct w:val="0"/>
        <w:autoSpaceDE/>
        <w:autoSpaceDN/>
        <w:bidi w:val="0"/>
        <w:snapToGrid/>
        <w:spacing w:line="560" w:lineRule="exact"/>
        <w:ind w:left="0" w:right="0" w:firstLine="482"/>
        <w:rPr>
          <w:rFonts w:hint="eastAsia" w:ascii="仿宋_GB2312" w:hAnsi="仿宋_GB2312" w:eastAsia="仿宋_GB2312" w:cs="仿宋_GB2312"/>
          <w:b w:val="0"/>
          <w:bCs/>
          <w:color w:val="auto"/>
          <w:sz w:val="32"/>
          <w:szCs w:val="32"/>
          <w:highlight w:val="none"/>
        </w:rPr>
      </w:pPr>
      <w:r>
        <w:rPr>
          <w:rFonts w:hint="eastAsia" w:ascii="仿宋_GB2312" w:hAnsi="仿宋_GB2312" w:eastAsia="仿宋_GB2312" w:cs="仿宋_GB2312"/>
          <w:b w:val="0"/>
          <w:bCs/>
          <w:color w:val="auto"/>
          <w:sz w:val="32"/>
          <w:szCs w:val="32"/>
          <w:highlight w:val="none"/>
        </w:rPr>
        <w:t>7.擅自提高价格、降低服务质量，经招标人指出后拒不整改；</w:t>
      </w:r>
    </w:p>
    <w:p w14:paraId="1F976C7E">
      <w:pPr>
        <w:pStyle w:val="4"/>
        <w:keepNext w:val="0"/>
        <w:keepLines w:val="0"/>
        <w:pageBreakBefore w:val="0"/>
        <w:widowControl w:val="0"/>
        <w:kinsoku/>
        <w:wordWrap/>
        <w:overflowPunct/>
        <w:topLinePunct w:val="0"/>
        <w:autoSpaceDE/>
        <w:autoSpaceDN/>
        <w:bidi w:val="0"/>
        <w:snapToGrid/>
        <w:spacing w:line="560" w:lineRule="exact"/>
        <w:ind w:left="0" w:right="0" w:firstLine="482"/>
        <w:rPr>
          <w:rFonts w:hint="eastAsia" w:ascii="仿宋_GB2312" w:hAnsi="仿宋_GB2312" w:eastAsia="仿宋_GB2312" w:cs="仿宋_GB2312"/>
          <w:b w:val="0"/>
          <w:bCs/>
          <w:color w:val="auto"/>
          <w:sz w:val="32"/>
          <w:szCs w:val="32"/>
          <w:highlight w:val="none"/>
        </w:rPr>
      </w:pPr>
      <w:r>
        <w:rPr>
          <w:rFonts w:hint="eastAsia" w:ascii="仿宋_GB2312" w:hAnsi="仿宋_GB2312" w:eastAsia="仿宋_GB2312" w:cs="仿宋_GB2312"/>
          <w:b w:val="0"/>
          <w:bCs/>
          <w:color w:val="auto"/>
          <w:sz w:val="32"/>
          <w:szCs w:val="32"/>
          <w:highlight w:val="none"/>
        </w:rPr>
        <w:t>8.因</w:t>
      </w:r>
      <w:r>
        <w:rPr>
          <w:rFonts w:hint="eastAsia" w:ascii="仿宋_GB2312" w:hAnsi="仿宋_GB2312" w:eastAsia="仿宋_GB2312" w:cs="仿宋_GB2312"/>
          <w:b w:val="0"/>
          <w:bCs/>
          <w:color w:val="auto"/>
          <w:sz w:val="32"/>
          <w:szCs w:val="32"/>
          <w:highlight w:val="none"/>
          <w:lang w:eastAsia="zh-CN"/>
        </w:rPr>
        <w:t>服务商</w:t>
      </w:r>
      <w:r>
        <w:rPr>
          <w:rFonts w:hint="eastAsia" w:ascii="仿宋_GB2312" w:hAnsi="仿宋_GB2312" w:eastAsia="仿宋_GB2312" w:cs="仿宋_GB2312"/>
          <w:b w:val="0"/>
          <w:bCs/>
          <w:color w:val="auto"/>
          <w:sz w:val="32"/>
          <w:szCs w:val="32"/>
          <w:highlight w:val="none"/>
        </w:rPr>
        <w:t>原因导致招标人被行政处罚、被媒体曝光或造成其他严重损失；</w:t>
      </w:r>
    </w:p>
    <w:p w14:paraId="680B7E47">
      <w:pPr>
        <w:pStyle w:val="4"/>
        <w:keepNext w:val="0"/>
        <w:keepLines w:val="0"/>
        <w:pageBreakBefore w:val="0"/>
        <w:widowControl w:val="0"/>
        <w:kinsoku/>
        <w:wordWrap/>
        <w:overflowPunct/>
        <w:topLinePunct w:val="0"/>
        <w:autoSpaceDE/>
        <w:autoSpaceDN/>
        <w:bidi w:val="0"/>
        <w:snapToGrid/>
        <w:spacing w:line="560" w:lineRule="exact"/>
        <w:ind w:left="0" w:right="0" w:firstLine="482"/>
        <w:rPr>
          <w:rFonts w:hint="eastAsia" w:ascii="仿宋_GB2312" w:hAnsi="仿宋_GB2312" w:eastAsia="仿宋_GB2312" w:cs="仿宋_GB2312"/>
          <w:b w:val="0"/>
          <w:bCs/>
          <w:color w:val="auto"/>
          <w:sz w:val="32"/>
          <w:szCs w:val="32"/>
          <w:highlight w:val="none"/>
        </w:rPr>
      </w:pPr>
      <w:r>
        <w:rPr>
          <w:rFonts w:hint="eastAsia" w:ascii="仿宋_GB2312" w:hAnsi="仿宋_GB2312" w:eastAsia="仿宋_GB2312" w:cs="仿宋_GB2312"/>
          <w:b w:val="0"/>
          <w:bCs/>
          <w:color w:val="auto"/>
          <w:sz w:val="32"/>
          <w:szCs w:val="32"/>
          <w:highlight w:val="none"/>
        </w:rPr>
        <w:t>9.法律法规规定或合同约定的其他解除情形。</w:t>
      </w:r>
    </w:p>
    <w:p w14:paraId="5286ADAF">
      <w:pPr>
        <w:pStyle w:val="4"/>
        <w:keepNext w:val="0"/>
        <w:keepLines w:val="0"/>
        <w:pageBreakBefore w:val="0"/>
        <w:widowControl w:val="0"/>
        <w:kinsoku/>
        <w:wordWrap/>
        <w:overflowPunct/>
        <w:topLinePunct w:val="0"/>
        <w:autoSpaceDE/>
        <w:autoSpaceDN/>
        <w:bidi w:val="0"/>
        <w:snapToGrid/>
        <w:spacing w:line="560" w:lineRule="exact"/>
        <w:ind w:left="0" w:right="0" w:firstLine="482"/>
        <w:rPr>
          <w:rFonts w:hint="eastAsia" w:ascii="仿宋_GB2312" w:hAnsi="仿宋_GB2312" w:eastAsia="仿宋_GB2312" w:cs="仿宋_GB2312"/>
          <w:b/>
          <w:bCs w:val="0"/>
          <w:color w:val="auto"/>
          <w:sz w:val="32"/>
          <w:szCs w:val="32"/>
          <w:highlight w:val="none"/>
        </w:rPr>
      </w:pPr>
      <w:r>
        <w:rPr>
          <w:rFonts w:hint="eastAsia" w:ascii="仿宋_GB2312" w:hAnsi="仿宋_GB2312" w:eastAsia="仿宋_GB2312" w:cs="仿宋_GB2312"/>
          <w:b/>
          <w:bCs w:val="0"/>
          <w:color w:val="auto"/>
          <w:sz w:val="32"/>
          <w:szCs w:val="32"/>
          <w:highlight w:val="none"/>
          <w:lang w:val="en-US" w:eastAsia="zh-CN"/>
        </w:rPr>
        <w:t>九</w:t>
      </w:r>
      <w:r>
        <w:rPr>
          <w:rFonts w:hint="eastAsia" w:ascii="仿宋_GB2312" w:hAnsi="仿宋_GB2312" w:eastAsia="仿宋_GB2312" w:cs="仿宋_GB2312"/>
          <w:b/>
          <w:bCs w:val="0"/>
          <w:color w:val="auto"/>
          <w:sz w:val="32"/>
          <w:szCs w:val="32"/>
          <w:highlight w:val="none"/>
        </w:rPr>
        <w:t>、其他</w:t>
      </w:r>
    </w:p>
    <w:p w14:paraId="4381C3B0">
      <w:pPr>
        <w:pStyle w:val="4"/>
        <w:keepNext w:val="0"/>
        <w:keepLines w:val="0"/>
        <w:pageBreakBefore w:val="0"/>
        <w:widowControl w:val="0"/>
        <w:kinsoku/>
        <w:wordWrap/>
        <w:overflowPunct/>
        <w:topLinePunct w:val="0"/>
        <w:autoSpaceDE/>
        <w:autoSpaceDN/>
        <w:bidi w:val="0"/>
        <w:snapToGrid/>
        <w:spacing w:line="560" w:lineRule="exact"/>
        <w:ind w:left="0" w:right="0" w:firstLine="482"/>
        <w:rPr>
          <w:rFonts w:hint="eastAsia" w:ascii="仿宋_GB2312" w:hAnsi="仿宋_GB2312" w:eastAsia="仿宋_GB2312" w:cs="仿宋_GB2312"/>
          <w:b w:val="0"/>
          <w:bCs/>
          <w:color w:val="auto"/>
          <w:sz w:val="32"/>
          <w:szCs w:val="32"/>
          <w:highlight w:val="none"/>
        </w:rPr>
      </w:pPr>
      <w:r>
        <w:rPr>
          <w:rFonts w:hint="eastAsia" w:ascii="仿宋_GB2312" w:hAnsi="仿宋_GB2312" w:eastAsia="仿宋_GB2312" w:cs="仿宋_GB2312"/>
          <w:b w:val="0"/>
          <w:bCs/>
          <w:color w:val="auto"/>
          <w:sz w:val="32"/>
          <w:szCs w:val="32"/>
          <w:highlight w:val="none"/>
        </w:rPr>
        <w:t>1.本采购需求未尽事宜，依照《中华人民共和国政府采购法》《中华人民共和国食品安全法》《中华人民共和国民法典》及招标人相关管理制度执行。</w:t>
      </w:r>
    </w:p>
    <w:p w14:paraId="7894AD6A">
      <w:pPr>
        <w:pStyle w:val="4"/>
        <w:keepNext w:val="0"/>
        <w:keepLines w:val="0"/>
        <w:pageBreakBefore w:val="0"/>
        <w:widowControl w:val="0"/>
        <w:kinsoku/>
        <w:wordWrap/>
        <w:overflowPunct/>
        <w:topLinePunct w:val="0"/>
        <w:autoSpaceDE/>
        <w:autoSpaceDN/>
        <w:bidi w:val="0"/>
        <w:snapToGrid/>
        <w:spacing w:line="560" w:lineRule="exact"/>
        <w:ind w:left="0" w:right="0" w:firstLine="482"/>
        <w:rPr>
          <w:rFonts w:hint="eastAsia" w:ascii="仿宋_GB2312" w:hAnsi="仿宋_GB2312" w:eastAsia="仿宋_GB2312" w:cs="仿宋_GB2312"/>
          <w:b w:val="0"/>
          <w:bCs/>
          <w:color w:val="auto"/>
          <w:sz w:val="32"/>
          <w:szCs w:val="32"/>
          <w:highlight w:val="none"/>
        </w:rPr>
      </w:pPr>
      <w:r>
        <w:rPr>
          <w:rFonts w:hint="eastAsia" w:ascii="仿宋_GB2312" w:hAnsi="仿宋_GB2312" w:eastAsia="仿宋_GB2312" w:cs="仿宋_GB2312"/>
          <w:b w:val="0"/>
          <w:bCs/>
          <w:color w:val="auto"/>
          <w:sz w:val="32"/>
          <w:szCs w:val="32"/>
          <w:highlight w:val="none"/>
        </w:rPr>
        <w:t>2.投标人如对本项目院外经营模式、场地条件、供餐配送、</w:t>
      </w:r>
      <w:r>
        <w:rPr>
          <w:rFonts w:hint="eastAsia" w:ascii="仿宋_GB2312" w:hAnsi="仿宋_GB2312" w:eastAsia="仿宋_GB2312" w:cs="仿宋_GB2312"/>
          <w:b w:val="0"/>
          <w:bCs/>
          <w:color w:val="auto"/>
          <w:sz w:val="32"/>
          <w:szCs w:val="32"/>
          <w:highlight w:val="none"/>
          <w:lang w:val="en-US" w:eastAsia="zh-CN"/>
        </w:rPr>
        <w:t>小卖部</w:t>
      </w:r>
      <w:r>
        <w:rPr>
          <w:rFonts w:hint="eastAsia" w:ascii="仿宋_GB2312" w:hAnsi="仿宋_GB2312" w:eastAsia="仿宋_GB2312" w:cs="仿宋_GB2312"/>
          <w:b w:val="0"/>
          <w:bCs/>
          <w:color w:val="auto"/>
          <w:sz w:val="32"/>
          <w:szCs w:val="32"/>
          <w:highlight w:val="none"/>
        </w:rPr>
        <w:t>管理、考核标准等有更优方案，可在投标文件中提出，招标人可在评审及合同签订时参考。</w:t>
      </w:r>
    </w:p>
    <w:p w14:paraId="0A20DB32">
      <w:pPr>
        <w:pStyle w:val="4"/>
        <w:keepNext w:val="0"/>
        <w:keepLines w:val="0"/>
        <w:pageBreakBefore w:val="0"/>
        <w:widowControl w:val="0"/>
        <w:kinsoku/>
        <w:wordWrap/>
        <w:overflowPunct/>
        <w:topLinePunct w:val="0"/>
        <w:autoSpaceDE/>
        <w:autoSpaceDN/>
        <w:bidi w:val="0"/>
        <w:snapToGrid/>
        <w:spacing w:line="560" w:lineRule="exact"/>
        <w:ind w:left="0" w:right="0" w:firstLine="482"/>
        <w:rPr>
          <w:rFonts w:hint="eastAsia" w:ascii="仿宋_GB2312" w:hAnsi="仿宋_GB2312" w:eastAsia="仿宋_GB2312" w:cs="仿宋_GB2312"/>
          <w:b w:val="0"/>
          <w:bCs/>
          <w:color w:val="auto"/>
          <w:sz w:val="32"/>
          <w:szCs w:val="32"/>
          <w:highlight w:val="none"/>
        </w:rPr>
      </w:pPr>
      <w:r>
        <w:rPr>
          <w:rFonts w:hint="eastAsia" w:ascii="仿宋_GB2312" w:hAnsi="仿宋_GB2312" w:eastAsia="仿宋_GB2312" w:cs="仿宋_GB2312"/>
          <w:b w:val="0"/>
          <w:bCs/>
          <w:color w:val="auto"/>
          <w:sz w:val="32"/>
          <w:szCs w:val="32"/>
          <w:highlight w:val="none"/>
        </w:rPr>
        <w:t>3.最终解释权归广西医科大学附属武鸣医院所有。</w:t>
      </w:r>
    </w:p>
    <w:bookmarkEnd w:id="0"/>
    <w:bookmarkEnd w:id="1"/>
    <w:p w14:paraId="0738B183">
      <w:pPr>
        <w:keepNext w:val="0"/>
        <w:keepLines w:val="0"/>
        <w:pageBreakBefore w:val="0"/>
        <w:widowControl w:val="0"/>
        <w:kinsoku/>
        <w:wordWrap/>
        <w:overflowPunct/>
        <w:topLinePunct w:val="0"/>
        <w:autoSpaceDE/>
        <w:autoSpaceDN/>
        <w:bidi w:val="0"/>
        <w:snapToGrid/>
        <w:spacing w:line="560" w:lineRule="exact"/>
        <w:ind w:left="0" w:right="0"/>
        <w:rPr>
          <w:rFonts w:hint="eastAsia" w:ascii="仿宋_GB2312" w:hAnsi="仿宋_GB2312" w:eastAsia="仿宋_GB2312" w:cs="仿宋_GB2312"/>
          <w:sz w:val="32"/>
          <w:szCs w:val="32"/>
        </w:rPr>
      </w:pPr>
    </w:p>
    <w:sectPr>
      <w:headerReference r:id="rId3" w:type="default"/>
      <w:foot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8"/>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1C054C">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6B6D613">
                          <w:pPr>
                            <w:pStyle w:val="5"/>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26B6D613">
                    <w:pPr>
                      <w:pStyle w:val="5"/>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291107">
    <w:pPr>
      <w:pStyle w:val="6"/>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135FCF"/>
    <w:rsid w:val="01964270"/>
    <w:rsid w:val="05080FE1"/>
    <w:rsid w:val="05854EED"/>
    <w:rsid w:val="05C1497C"/>
    <w:rsid w:val="074B1D32"/>
    <w:rsid w:val="08D00067"/>
    <w:rsid w:val="09297778"/>
    <w:rsid w:val="09DD0A16"/>
    <w:rsid w:val="0A2C5771"/>
    <w:rsid w:val="0A5A4F00"/>
    <w:rsid w:val="0A7E3AF3"/>
    <w:rsid w:val="0A8D39DF"/>
    <w:rsid w:val="0B7A69B0"/>
    <w:rsid w:val="0BA61553"/>
    <w:rsid w:val="0D2E1801"/>
    <w:rsid w:val="0EAC1C08"/>
    <w:rsid w:val="0EDE1004"/>
    <w:rsid w:val="0FC95811"/>
    <w:rsid w:val="114F1320"/>
    <w:rsid w:val="11644D8C"/>
    <w:rsid w:val="116C6D9B"/>
    <w:rsid w:val="12D02524"/>
    <w:rsid w:val="13F24693"/>
    <w:rsid w:val="15126972"/>
    <w:rsid w:val="1542409B"/>
    <w:rsid w:val="18A575F7"/>
    <w:rsid w:val="19021497"/>
    <w:rsid w:val="19024013"/>
    <w:rsid w:val="1971470D"/>
    <w:rsid w:val="1AD86198"/>
    <w:rsid w:val="1C1F71DD"/>
    <w:rsid w:val="1CF245F9"/>
    <w:rsid w:val="1E2C6E07"/>
    <w:rsid w:val="1F5176B9"/>
    <w:rsid w:val="1FE55560"/>
    <w:rsid w:val="1FF74387"/>
    <w:rsid w:val="20793BC9"/>
    <w:rsid w:val="22A144DF"/>
    <w:rsid w:val="23C465C3"/>
    <w:rsid w:val="28A236DD"/>
    <w:rsid w:val="28AB20AF"/>
    <w:rsid w:val="2A804036"/>
    <w:rsid w:val="2B9218BE"/>
    <w:rsid w:val="2D1851CC"/>
    <w:rsid w:val="2E585187"/>
    <w:rsid w:val="2E97127C"/>
    <w:rsid w:val="2EB86AB6"/>
    <w:rsid w:val="31772EC7"/>
    <w:rsid w:val="33964C08"/>
    <w:rsid w:val="34207846"/>
    <w:rsid w:val="34593509"/>
    <w:rsid w:val="347B3BFA"/>
    <w:rsid w:val="34A50277"/>
    <w:rsid w:val="3600792F"/>
    <w:rsid w:val="37697DF6"/>
    <w:rsid w:val="3A86417A"/>
    <w:rsid w:val="3BF82174"/>
    <w:rsid w:val="3DF203F7"/>
    <w:rsid w:val="3DFA1107"/>
    <w:rsid w:val="3E4F7187"/>
    <w:rsid w:val="3F081602"/>
    <w:rsid w:val="3F7B6278"/>
    <w:rsid w:val="3F835C89"/>
    <w:rsid w:val="3FF51B86"/>
    <w:rsid w:val="3FF80AB4"/>
    <w:rsid w:val="401E584A"/>
    <w:rsid w:val="4061721C"/>
    <w:rsid w:val="40A84E4B"/>
    <w:rsid w:val="41FC7CF6"/>
    <w:rsid w:val="42285DA1"/>
    <w:rsid w:val="42CC7AC5"/>
    <w:rsid w:val="43CA157C"/>
    <w:rsid w:val="44004F56"/>
    <w:rsid w:val="45B918A8"/>
    <w:rsid w:val="472707CD"/>
    <w:rsid w:val="4874505C"/>
    <w:rsid w:val="48F61AD0"/>
    <w:rsid w:val="4A8A7B5A"/>
    <w:rsid w:val="4B2E0642"/>
    <w:rsid w:val="4BBF754E"/>
    <w:rsid w:val="4C0513A3"/>
    <w:rsid w:val="4CB70DEF"/>
    <w:rsid w:val="4D5A571F"/>
    <w:rsid w:val="4D695962"/>
    <w:rsid w:val="4DB7197E"/>
    <w:rsid w:val="4E1622A9"/>
    <w:rsid w:val="4F3501F1"/>
    <w:rsid w:val="502035AF"/>
    <w:rsid w:val="521640C9"/>
    <w:rsid w:val="542F4CBB"/>
    <w:rsid w:val="548D2A10"/>
    <w:rsid w:val="553625CD"/>
    <w:rsid w:val="567C4958"/>
    <w:rsid w:val="571B5F1F"/>
    <w:rsid w:val="57AD21A3"/>
    <w:rsid w:val="598853C1"/>
    <w:rsid w:val="5B7370DB"/>
    <w:rsid w:val="5BCB77E7"/>
    <w:rsid w:val="5CE17231"/>
    <w:rsid w:val="5D411688"/>
    <w:rsid w:val="5DE45FFB"/>
    <w:rsid w:val="5E0A71D3"/>
    <w:rsid w:val="5E4D1421"/>
    <w:rsid w:val="605B3830"/>
    <w:rsid w:val="624B5592"/>
    <w:rsid w:val="63BA6ABF"/>
    <w:rsid w:val="64A21A2D"/>
    <w:rsid w:val="64F07E3F"/>
    <w:rsid w:val="656B0071"/>
    <w:rsid w:val="66CD4D5B"/>
    <w:rsid w:val="66F26570"/>
    <w:rsid w:val="673C3717"/>
    <w:rsid w:val="676F7BC1"/>
    <w:rsid w:val="67D77F33"/>
    <w:rsid w:val="67F6499F"/>
    <w:rsid w:val="699931C7"/>
    <w:rsid w:val="69AE0C9B"/>
    <w:rsid w:val="69DF21C2"/>
    <w:rsid w:val="6A9B4491"/>
    <w:rsid w:val="6B086362"/>
    <w:rsid w:val="6B225DD0"/>
    <w:rsid w:val="6B6C4B43"/>
    <w:rsid w:val="6D525592"/>
    <w:rsid w:val="6D54286C"/>
    <w:rsid w:val="70DB30B2"/>
    <w:rsid w:val="7166390C"/>
    <w:rsid w:val="717E19C2"/>
    <w:rsid w:val="723039E4"/>
    <w:rsid w:val="73DF7EA7"/>
    <w:rsid w:val="743463D9"/>
    <w:rsid w:val="74620ED1"/>
    <w:rsid w:val="747672ED"/>
    <w:rsid w:val="74FC2209"/>
    <w:rsid w:val="759E1951"/>
    <w:rsid w:val="75A16577"/>
    <w:rsid w:val="76746FA2"/>
    <w:rsid w:val="76A022DC"/>
    <w:rsid w:val="772011DF"/>
    <w:rsid w:val="77600A79"/>
    <w:rsid w:val="79116D2A"/>
    <w:rsid w:val="79703A50"/>
    <w:rsid w:val="79813367"/>
    <w:rsid w:val="7B2D7249"/>
    <w:rsid w:val="7CF8552B"/>
    <w:rsid w:val="7DAD28DC"/>
    <w:rsid w:val="7EBB16E1"/>
    <w:rsid w:val="7F6A339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qFormat="1" w:unhideWhenUsed="0" w:uiPriority="99"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9"/>
    <w:pPr>
      <w:keepNext/>
      <w:keepLines/>
      <w:spacing w:before="340" w:after="330" w:line="578" w:lineRule="auto"/>
      <w:outlineLvl w:val="0"/>
    </w:pPr>
    <w:rPr>
      <w:b/>
      <w:bCs/>
      <w:kern w:val="44"/>
      <w:sz w:val="44"/>
      <w:szCs w:val="44"/>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3">
    <w:name w:val="Normal Indent"/>
    <w:basedOn w:val="1"/>
    <w:qFormat/>
    <w:uiPriority w:val="0"/>
    <w:pPr>
      <w:ind w:firstLine="420"/>
    </w:pPr>
    <w:rPr>
      <w:szCs w:val="20"/>
    </w:rPr>
  </w:style>
  <w:style w:type="paragraph" w:styleId="4">
    <w:name w:val="Block Text"/>
    <w:basedOn w:val="1"/>
    <w:qFormat/>
    <w:uiPriority w:val="99"/>
    <w:pPr>
      <w:adjustRightInd w:val="0"/>
      <w:spacing w:line="400" w:lineRule="exact"/>
      <w:ind w:left="420" w:right="33" w:firstLine="1044" w:firstLineChars="200"/>
      <w:jc w:val="left"/>
      <w:textAlignment w:val="baseline"/>
    </w:pPr>
    <w:rPr>
      <w:kern w:val="0"/>
      <w:sz w:val="24"/>
      <w:szCs w:val="20"/>
    </w:r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17</Pages>
  <Words>4601</Words>
  <Characters>4699</Characters>
  <Lines>0</Lines>
  <Paragraphs>0</Paragraphs>
  <TotalTime>2</TotalTime>
  <ScaleCrop>false</ScaleCrop>
  <LinksUpToDate>false</LinksUpToDate>
  <CharactersWithSpaces>4701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2026-09-15T00:44:00Z</dcterms:created>
  <dc:creator>zwkmly</dc:creator>
  <cp:lastModifiedBy>Jackie Dun</cp:lastModifiedBy>
  <dcterms:modified xsi:type="dcterms:W3CDTF">2026-09-22T03:36:31Z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eyJoZGlkIjoiNGFjODA3MWIzYTIxYmUyODA4MzczZDBkNmQ5MDE3OGUiLCJ1c2VySWQiOiIzODgzMzQxNjkifQ==</vt:lpwstr>
  </property>
  <property fmtid="{D5CDD505-2E9C-101B-9397-08002B2CF9AE}" pid="4" name="ICV">
    <vt:lpwstr>5761F50458234D4CB9B1AF6979601E1E_13</vt:lpwstr>
  </property>
</Properties>
</file>