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715F67">
      <w:pPr>
        <w:shd w:val="clear"/>
        <w:snapToGrid w:val="0"/>
        <w:spacing w:before="120" w:beforeLines="50" w:line="360" w:lineRule="auto"/>
        <w:jc w:val="center"/>
        <w:rPr>
          <w:rFonts w:hint="eastAsia" w:ascii="仿宋_GB2312" w:hAnsi="宋体" w:eastAsia="仿宋_GB2312"/>
          <w:b/>
          <w:color w:val="auto"/>
          <w:sz w:val="52"/>
          <w:szCs w:val="52"/>
          <w:highlight w:val="none"/>
        </w:rPr>
      </w:pPr>
      <w:r>
        <w:rPr>
          <w:rFonts w:ascii="仿宋_GB2312" w:hAnsi="宋体" w:eastAsia="仿宋_GB2312"/>
          <w:b/>
          <w:color w:val="auto"/>
          <w:sz w:val="52"/>
          <w:szCs w:val="52"/>
          <w:highlight w:val="none"/>
        </w:rPr>
        <w:drawing>
          <wp:anchor distT="0" distB="0" distL="0" distR="0" simplePos="0" relativeHeight="251660288" behindDoc="0" locked="0" layoutInCell="1" allowOverlap="1">
            <wp:simplePos x="0" y="0"/>
            <wp:positionH relativeFrom="page">
              <wp:posOffset>2118360</wp:posOffset>
            </wp:positionH>
            <wp:positionV relativeFrom="page">
              <wp:posOffset>1026795</wp:posOffset>
            </wp:positionV>
            <wp:extent cx="3448685" cy="4109720"/>
            <wp:effectExtent l="0" t="0" r="18415" b="5080"/>
            <wp:wrapTopAndBottom/>
            <wp:docPr id="1026" name="officeArt object"/>
            <wp:cNvGraphicFramePr/>
            <a:graphic xmlns:a="http://schemas.openxmlformats.org/drawingml/2006/main">
              <a:graphicData uri="http://schemas.openxmlformats.org/drawingml/2006/picture">
                <pic:pic xmlns:pic="http://schemas.openxmlformats.org/drawingml/2006/picture">
                  <pic:nvPicPr>
                    <pic:cNvPr id="1026" name="officeArt object"/>
                    <pic:cNvPicPr/>
                  </pic:nvPicPr>
                  <pic:blipFill>
                    <a:blip r:embed="rId13" cstate="print"/>
                    <a:srcRect/>
                    <a:stretch>
                      <a:fillRect/>
                    </a:stretch>
                  </pic:blipFill>
                  <pic:spPr>
                    <a:xfrm>
                      <a:off x="0" y="0"/>
                      <a:ext cx="3448684" cy="4109720"/>
                    </a:xfrm>
                    <a:prstGeom prst="rect">
                      <a:avLst/>
                    </a:prstGeom>
                    <a:ln>
                      <a:noFill/>
                    </a:ln>
                  </pic:spPr>
                </pic:pic>
              </a:graphicData>
            </a:graphic>
          </wp:anchor>
        </w:drawing>
      </w:r>
      <w:r>
        <w:rPr>
          <w:rFonts w:hint="eastAsia" w:ascii="仿宋_GB2312" w:hAnsi="宋体" w:eastAsia="仿宋_GB2312"/>
          <w:b/>
          <w:color w:val="auto"/>
          <w:sz w:val="52"/>
          <w:szCs w:val="52"/>
          <w:highlight w:val="none"/>
        </w:rPr>
        <w:t>政府采购公开招标文件</w:t>
      </w:r>
    </w:p>
    <w:p w14:paraId="12517902">
      <w:pPr>
        <w:shd w:val="clear"/>
        <w:snapToGrid w:val="0"/>
        <w:spacing w:before="120" w:beforeLines="50" w:line="360" w:lineRule="auto"/>
        <w:jc w:val="center"/>
        <w:rPr>
          <w:rFonts w:hint="eastAsia" w:ascii="仿宋_GB2312" w:hAnsi="宋体" w:eastAsia="仿宋_GB2312"/>
          <w:b/>
          <w:color w:val="auto"/>
          <w:sz w:val="52"/>
          <w:szCs w:val="52"/>
          <w:highlight w:val="none"/>
        </w:rPr>
      </w:pPr>
      <w:r>
        <w:rPr>
          <w:rFonts w:hint="eastAsia" w:ascii="仿宋_GB2312" w:hAnsi="宋体" w:eastAsia="仿宋_GB2312"/>
          <w:b/>
          <w:color w:val="auto"/>
          <w:sz w:val="52"/>
          <w:szCs w:val="52"/>
          <w:highlight w:val="none"/>
        </w:rPr>
        <w:t>（服务类）</w:t>
      </w:r>
    </w:p>
    <w:p w14:paraId="524F1FEB">
      <w:pPr>
        <w:pStyle w:val="26"/>
        <w:shd w:val="clear"/>
        <w:snapToGrid w:val="0"/>
        <w:spacing w:line="360" w:lineRule="auto"/>
        <w:ind w:firstLine="1272" w:firstLineChars="396"/>
        <w:rPr>
          <w:rFonts w:hint="eastAsia" w:ascii="仿宋_GB2312" w:hAnsi="宋体" w:eastAsia="仿宋_GB2312"/>
          <w:b/>
          <w:bCs/>
          <w:color w:val="auto"/>
          <w:sz w:val="32"/>
          <w:szCs w:val="32"/>
          <w:highlight w:val="none"/>
          <w:lang w:eastAsia="zh-CN"/>
        </w:rPr>
      </w:pPr>
      <w:r>
        <w:rPr>
          <w:rFonts w:hint="eastAsia" w:ascii="仿宋_GB2312" w:hAnsi="宋体" w:eastAsia="仿宋_GB2312"/>
          <w:b/>
          <w:bCs/>
          <w:color w:val="auto"/>
          <w:sz w:val="32"/>
          <w:szCs w:val="32"/>
          <w:highlight w:val="none"/>
        </w:rPr>
        <w:t>项目</w:t>
      </w:r>
      <w:r>
        <w:rPr>
          <w:rFonts w:hint="eastAsia" w:ascii="仿宋_GB2312" w:hAnsi="宋体" w:eastAsia="仿宋_GB2312" w:cs="Courier New"/>
          <w:b/>
          <w:bCs/>
          <w:color w:val="auto"/>
          <w:w w:val="95"/>
          <w:sz w:val="32"/>
          <w:szCs w:val="32"/>
          <w:highlight w:val="none"/>
        </w:rPr>
        <w:t>名称</w:t>
      </w:r>
      <w:r>
        <w:rPr>
          <w:rFonts w:hint="eastAsia" w:ascii="仿宋_GB2312" w:hAnsi="宋体" w:eastAsia="仿宋_GB2312"/>
          <w:b/>
          <w:bCs/>
          <w:color w:val="auto"/>
          <w:sz w:val="32"/>
          <w:szCs w:val="32"/>
          <w:highlight w:val="none"/>
        </w:rPr>
        <w:t>：</w:t>
      </w:r>
      <w:r>
        <w:rPr>
          <w:rFonts w:hint="eastAsia" w:ascii="仿宋_GB2312" w:hAnsi="宋体" w:eastAsia="仿宋_GB2312"/>
          <w:b/>
          <w:bCs/>
          <w:color w:val="auto"/>
          <w:w w:val="95"/>
          <w:sz w:val="32"/>
          <w:szCs w:val="32"/>
          <w:highlight w:val="none"/>
          <w:lang w:eastAsia="zh-CN"/>
        </w:rPr>
        <w:t>被服、布草洗涤服务采购项目</w:t>
      </w:r>
    </w:p>
    <w:p w14:paraId="1862A896">
      <w:pPr>
        <w:shd w:val="clear"/>
        <w:snapToGrid w:val="0"/>
        <w:spacing w:line="360" w:lineRule="auto"/>
        <w:ind w:firstLine="1285" w:firstLineChars="400"/>
        <w:rPr>
          <w:rFonts w:hint="eastAsia" w:ascii="仿宋_GB2312" w:hAnsi="宋体" w:eastAsia="仿宋_GB2312"/>
          <w:color w:val="auto"/>
          <w:sz w:val="32"/>
          <w:szCs w:val="32"/>
          <w:highlight w:val="none"/>
          <w:lang w:eastAsia="zh-CN"/>
        </w:rPr>
      </w:pPr>
      <w:r>
        <w:rPr>
          <w:rFonts w:hint="eastAsia" w:ascii="仿宋_GB2312" w:hAnsi="宋体" w:eastAsia="仿宋_GB2312"/>
          <w:b/>
          <w:bCs/>
          <w:color w:val="auto"/>
          <w:kern w:val="0"/>
          <w:sz w:val="32"/>
          <w:szCs w:val="32"/>
          <w:highlight w:val="none"/>
        </w:rPr>
        <w:t>项目编号</w:t>
      </w:r>
      <w:r>
        <w:rPr>
          <w:rFonts w:hint="eastAsia" w:ascii="仿宋_GB2312" w:hAnsi="宋体" w:eastAsia="仿宋_GB2312" w:cs="Courier New"/>
          <w:b/>
          <w:bCs/>
          <w:color w:val="auto"/>
          <w:w w:val="95"/>
          <w:sz w:val="32"/>
          <w:szCs w:val="32"/>
          <w:highlight w:val="none"/>
        </w:rPr>
        <w:t>：</w:t>
      </w:r>
      <w:r>
        <w:rPr>
          <w:rFonts w:hint="eastAsia" w:ascii="仿宋_GB2312" w:hAnsi="宋体" w:eastAsia="仿宋_GB2312"/>
          <w:b/>
          <w:color w:val="auto"/>
          <w:sz w:val="32"/>
          <w:szCs w:val="32"/>
          <w:highlight w:val="none"/>
          <w:lang w:eastAsia="zh-CN"/>
        </w:rPr>
        <w:t>GXZC2026-G3-002191-HCZB</w:t>
      </w:r>
    </w:p>
    <w:p w14:paraId="4CD04DA4">
      <w:pPr>
        <w:pStyle w:val="26"/>
        <w:shd w:val="clear"/>
        <w:snapToGrid w:val="0"/>
        <w:spacing w:line="360" w:lineRule="auto"/>
        <w:ind w:firstLine="1125" w:firstLineChars="393"/>
        <w:rPr>
          <w:rFonts w:hint="eastAsia" w:ascii="仿宋_GB2312" w:hAnsi="宋体" w:eastAsia="仿宋_GB2312"/>
          <w:b/>
          <w:bCs/>
          <w:color w:val="auto"/>
          <w:w w:val="95"/>
          <w:sz w:val="30"/>
          <w:szCs w:val="30"/>
          <w:highlight w:val="none"/>
        </w:rPr>
      </w:pPr>
    </w:p>
    <w:p w14:paraId="00133CF9">
      <w:pPr>
        <w:pStyle w:val="26"/>
        <w:shd w:val="clear"/>
        <w:snapToGrid w:val="0"/>
        <w:spacing w:line="360" w:lineRule="auto"/>
        <w:ind w:firstLine="1125" w:firstLineChars="393"/>
        <w:rPr>
          <w:rFonts w:hint="eastAsia" w:ascii="仿宋_GB2312" w:hAnsi="宋体" w:eastAsia="仿宋_GB2312"/>
          <w:b/>
          <w:bCs/>
          <w:color w:val="auto"/>
          <w:w w:val="95"/>
          <w:sz w:val="30"/>
          <w:szCs w:val="30"/>
          <w:highlight w:val="none"/>
        </w:rPr>
      </w:pPr>
    </w:p>
    <w:p w14:paraId="6C63F420">
      <w:pPr>
        <w:pStyle w:val="26"/>
        <w:shd w:val="clear"/>
        <w:snapToGrid w:val="0"/>
        <w:spacing w:line="360" w:lineRule="auto"/>
        <w:ind w:firstLine="1272" w:firstLineChars="396"/>
        <w:rPr>
          <w:rFonts w:hint="eastAsia"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 xml:space="preserve">采 购 人： </w:t>
      </w:r>
      <w:r>
        <w:rPr>
          <w:rFonts w:hint="eastAsia" w:ascii="仿宋_GB2312" w:hAnsi="宋体" w:eastAsia="仿宋_GB2312"/>
          <w:b/>
          <w:bCs/>
          <w:color w:val="auto"/>
          <w:sz w:val="32"/>
          <w:szCs w:val="32"/>
          <w:highlight w:val="none"/>
          <w:lang w:eastAsia="zh-CN"/>
        </w:rPr>
        <w:t>广西医科大学附属武鸣医院</w:t>
      </w:r>
    </w:p>
    <w:p w14:paraId="1476E1B0">
      <w:pPr>
        <w:pStyle w:val="26"/>
        <w:shd w:val="clear"/>
        <w:snapToGrid w:val="0"/>
        <w:spacing w:line="360" w:lineRule="auto"/>
        <w:ind w:firstLine="1272" w:firstLineChars="396"/>
        <w:rPr>
          <w:rFonts w:hint="eastAsia"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采购代理机构：华采招标集团有限公司</w:t>
      </w:r>
    </w:p>
    <w:p w14:paraId="1D167418">
      <w:pPr>
        <w:pStyle w:val="26"/>
        <w:shd w:val="clear"/>
        <w:snapToGrid w:val="0"/>
        <w:spacing w:line="360" w:lineRule="auto"/>
        <w:jc w:val="center"/>
        <w:rPr>
          <w:rFonts w:ascii="仿宋_GB2312" w:eastAsia="仿宋_GB2312"/>
          <w:color w:val="auto"/>
          <w:sz w:val="32"/>
          <w:szCs w:val="32"/>
          <w:highlight w:val="none"/>
        </w:rPr>
      </w:pPr>
      <w:r>
        <w:rPr>
          <w:rFonts w:hint="eastAsia" w:ascii="仿宋_GB2312" w:hAnsi="宋体" w:eastAsia="仿宋_GB2312"/>
          <w:b/>
          <w:bCs/>
          <w:color w:val="auto"/>
          <w:w w:val="95"/>
          <w:sz w:val="32"/>
          <w:szCs w:val="32"/>
          <w:highlight w:val="none"/>
        </w:rPr>
        <w:t>2026年</w:t>
      </w:r>
      <w:r>
        <w:rPr>
          <w:rFonts w:hint="eastAsia" w:ascii="仿宋_GB2312" w:hAnsi="宋体" w:eastAsia="仿宋_GB2312"/>
          <w:b/>
          <w:bCs/>
          <w:color w:val="auto"/>
          <w:w w:val="95"/>
          <w:sz w:val="32"/>
          <w:szCs w:val="32"/>
          <w:highlight w:val="none"/>
          <w:lang w:val="en-US" w:eastAsia="zh-CN"/>
        </w:rPr>
        <w:t>7</w:t>
      </w:r>
      <w:r>
        <w:rPr>
          <w:rFonts w:hint="eastAsia" w:ascii="仿宋_GB2312" w:hAnsi="宋体" w:eastAsia="仿宋_GB2312"/>
          <w:b/>
          <w:bCs/>
          <w:color w:val="auto"/>
          <w:w w:val="95"/>
          <w:sz w:val="32"/>
          <w:szCs w:val="32"/>
          <w:highlight w:val="none"/>
        </w:rPr>
        <w:t>月</w:t>
      </w:r>
    </w:p>
    <w:p w14:paraId="203A60E6">
      <w:pPr>
        <w:pStyle w:val="26"/>
        <w:shd w:val="clear"/>
        <w:spacing w:before="120" w:after="120" w:line="360" w:lineRule="auto"/>
        <w:jc w:val="center"/>
        <w:rPr>
          <w:rFonts w:hint="eastAsia" w:ascii="仿宋_GB2312" w:hAnsi="宋体" w:eastAsia="仿宋_GB2312"/>
          <w:color w:val="auto"/>
          <w:highlight w:val="none"/>
        </w:rPr>
      </w:pPr>
    </w:p>
    <w:p w14:paraId="716DDE01">
      <w:pPr>
        <w:pStyle w:val="26"/>
        <w:shd w:val="clear"/>
        <w:spacing w:before="120" w:after="120" w:line="360" w:lineRule="auto"/>
        <w:jc w:val="center"/>
        <w:rPr>
          <w:rFonts w:hint="eastAsia" w:ascii="仿宋_GB2312" w:hAnsi="宋体" w:eastAsia="仿宋_GB2312"/>
          <w:color w:val="auto"/>
          <w:highlight w:val="none"/>
        </w:rPr>
        <w:sectPr>
          <w:headerReference r:id="rId3" w:type="default"/>
          <w:pgSz w:w="11906" w:h="16838"/>
          <w:pgMar w:top="1440" w:right="1080" w:bottom="1440" w:left="1080" w:header="851" w:footer="992" w:gutter="0"/>
          <w:cols w:space="720" w:num="1"/>
          <w:docGrid w:linePitch="312" w:charSpace="0"/>
        </w:sectPr>
      </w:pPr>
    </w:p>
    <w:p w14:paraId="0419E23C">
      <w:pPr>
        <w:pStyle w:val="6"/>
        <w:shd w:val="clear"/>
        <w:rPr>
          <w:color w:val="auto"/>
          <w:highlight w:val="none"/>
        </w:rPr>
      </w:pPr>
    </w:p>
    <w:p w14:paraId="6384D728">
      <w:pPr>
        <w:shd w:val="clea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13247AA4">
      <w:pPr>
        <w:pStyle w:val="34"/>
        <w:tabs>
          <w:tab w:val="right" w:leader="dot" w:pos="9746"/>
          <w:tab w:val="clear" w:pos="8398"/>
        </w:tabs>
        <w:spacing w:line="360" w:lineRule="auto"/>
        <w:rPr>
          <w:color w:val="auto"/>
          <w:sz w:val="32"/>
          <w:szCs w:val="32"/>
        </w:rPr>
      </w:pPr>
      <w:r>
        <w:rPr>
          <w:rFonts w:hint="eastAsia" w:cs="宋体"/>
          <w:b w:val="0"/>
          <w:color w:val="auto"/>
          <w:sz w:val="36"/>
          <w:szCs w:val="36"/>
          <w:highlight w:val="none"/>
        </w:rPr>
        <w:fldChar w:fldCharType="begin"/>
      </w:r>
      <w:r>
        <w:rPr>
          <w:rFonts w:hint="eastAsia" w:cs="宋体"/>
          <w:b w:val="0"/>
          <w:color w:val="auto"/>
          <w:sz w:val="36"/>
          <w:szCs w:val="36"/>
          <w:highlight w:val="none"/>
        </w:rPr>
        <w:instrText xml:space="preserve"> TOC \o "1-2" \h \z \u </w:instrText>
      </w:r>
      <w:r>
        <w:rPr>
          <w:rFonts w:hint="eastAsia" w:cs="宋体"/>
          <w:b w:val="0"/>
          <w:color w:val="auto"/>
          <w:sz w:val="36"/>
          <w:szCs w:val="36"/>
          <w:highlight w:val="none"/>
        </w:rPr>
        <w:fldChar w:fldCharType="separate"/>
      </w:r>
      <w:r>
        <w:rPr>
          <w:rFonts w:hint="eastAsia" w:ascii="宋体" w:hAnsi="宋体" w:cs="宋体"/>
          <w:color w:val="auto"/>
          <w:sz w:val="32"/>
          <w:szCs w:val="36"/>
          <w:highlight w:val="none"/>
        </w:rPr>
        <w:fldChar w:fldCharType="begin"/>
      </w:r>
      <w:r>
        <w:rPr>
          <w:rFonts w:hint="eastAsia" w:ascii="宋体" w:hAnsi="宋体" w:cs="宋体"/>
          <w:color w:val="auto"/>
          <w:sz w:val="32"/>
          <w:szCs w:val="36"/>
          <w:highlight w:val="none"/>
        </w:rPr>
        <w:instrText xml:space="preserve"> HYPERLINK \l _Toc10071 </w:instrText>
      </w:r>
      <w:r>
        <w:rPr>
          <w:rFonts w:hint="eastAsia" w:ascii="宋体" w:hAnsi="宋体" w:cs="宋体"/>
          <w:color w:val="auto"/>
          <w:sz w:val="32"/>
          <w:szCs w:val="36"/>
          <w:highlight w:val="none"/>
        </w:rPr>
        <w:fldChar w:fldCharType="separate"/>
      </w:r>
      <w:r>
        <w:rPr>
          <w:rFonts w:hint="eastAsia"/>
          <w:color w:val="auto"/>
          <w:sz w:val="32"/>
          <w:szCs w:val="32"/>
          <w:highlight w:val="none"/>
        </w:rPr>
        <w:t xml:space="preserve">第一章 </w:t>
      </w:r>
      <w:r>
        <w:rPr>
          <w:rFonts w:hint="eastAsia"/>
          <w:color w:val="auto"/>
          <w:sz w:val="32"/>
          <w:szCs w:val="32"/>
          <w:highlight w:val="none"/>
          <w:lang w:val="en-US" w:eastAsia="zh-CN"/>
        </w:rPr>
        <w:t xml:space="preserve"> </w:t>
      </w:r>
      <w:r>
        <w:rPr>
          <w:rFonts w:hint="eastAsia"/>
          <w:color w:val="auto"/>
          <w:sz w:val="32"/>
          <w:szCs w:val="32"/>
          <w:highlight w:val="none"/>
        </w:rPr>
        <w:t>招标公告</w:t>
      </w:r>
      <w:r>
        <w:rPr>
          <w:color w:val="auto"/>
          <w:sz w:val="32"/>
          <w:szCs w:val="32"/>
        </w:rPr>
        <w:tab/>
      </w:r>
      <w:r>
        <w:rPr>
          <w:color w:val="auto"/>
          <w:sz w:val="32"/>
          <w:szCs w:val="32"/>
        </w:rPr>
        <w:fldChar w:fldCharType="begin"/>
      </w:r>
      <w:r>
        <w:rPr>
          <w:color w:val="auto"/>
          <w:sz w:val="32"/>
          <w:szCs w:val="32"/>
        </w:rPr>
        <w:instrText xml:space="preserve"> PAGEREF _Toc10071 \h </w:instrText>
      </w:r>
      <w:r>
        <w:rPr>
          <w:color w:val="auto"/>
          <w:sz w:val="32"/>
          <w:szCs w:val="32"/>
        </w:rPr>
        <w:fldChar w:fldCharType="separate"/>
      </w:r>
      <w:r>
        <w:rPr>
          <w:color w:val="auto"/>
          <w:sz w:val="32"/>
          <w:szCs w:val="32"/>
        </w:rPr>
        <w:t>1</w:t>
      </w:r>
      <w:r>
        <w:rPr>
          <w:color w:val="auto"/>
          <w:sz w:val="32"/>
          <w:szCs w:val="32"/>
        </w:rPr>
        <w:fldChar w:fldCharType="end"/>
      </w:r>
      <w:r>
        <w:rPr>
          <w:rFonts w:hint="eastAsia" w:ascii="宋体" w:hAnsi="宋体" w:cs="宋体"/>
          <w:color w:val="auto"/>
          <w:sz w:val="32"/>
          <w:szCs w:val="36"/>
          <w:highlight w:val="none"/>
        </w:rPr>
        <w:fldChar w:fldCharType="end"/>
      </w:r>
    </w:p>
    <w:p w14:paraId="2BB8E134">
      <w:pPr>
        <w:pStyle w:val="34"/>
        <w:tabs>
          <w:tab w:val="right" w:leader="dot" w:pos="9746"/>
          <w:tab w:val="clear" w:pos="8398"/>
        </w:tabs>
        <w:spacing w:line="360" w:lineRule="auto"/>
        <w:rPr>
          <w:color w:val="auto"/>
          <w:sz w:val="32"/>
          <w:szCs w:val="32"/>
        </w:rPr>
      </w:pPr>
      <w:r>
        <w:rPr>
          <w:rFonts w:hint="eastAsia" w:ascii="宋体" w:hAnsi="宋体" w:cs="宋体"/>
          <w:color w:val="auto"/>
          <w:sz w:val="32"/>
          <w:szCs w:val="36"/>
          <w:highlight w:val="none"/>
        </w:rPr>
        <w:fldChar w:fldCharType="begin"/>
      </w:r>
      <w:r>
        <w:rPr>
          <w:rFonts w:hint="eastAsia" w:ascii="宋体" w:hAnsi="宋体" w:cs="宋体"/>
          <w:color w:val="auto"/>
          <w:sz w:val="32"/>
          <w:szCs w:val="36"/>
          <w:highlight w:val="none"/>
        </w:rPr>
        <w:instrText xml:space="preserve"> HYPERLINK \l _Toc3010 </w:instrText>
      </w:r>
      <w:r>
        <w:rPr>
          <w:rFonts w:hint="eastAsia" w:ascii="宋体" w:hAnsi="宋体" w:cs="宋体"/>
          <w:color w:val="auto"/>
          <w:sz w:val="32"/>
          <w:szCs w:val="36"/>
          <w:highlight w:val="none"/>
        </w:rPr>
        <w:fldChar w:fldCharType="separate"/>
      </w:r>
      <w:r>
        <w:rPr>
          <w:rFonts w:hint="eastAsia"/>
          <w:color w:val="auto"/>
          <w:sz w:val="32"/>
          <w:szCs w:val="32"/>
          <w:highlight w:val="none"/>
        </w:rPr>
        <w:t>第二章  采购需求</w:t>
      </w:r>
      <w:r>
        <w:rPr>
          <w:color w:val="auto"/>
          <w:sz w:val="32"/>
          <w:szCs w:val="32"/>
        </w:rPr>
        <w:tab/>
      </w:r>
      <w:r>
        <w:rPr>
          <w:color w:val="auto"/>
          <w:sz w:val="32"/>
          <w:szCs w:val="32"/>
        </w:rPr>
        <w:fldChar w:fldCharType="begin"/>
      </w:r>
      <w:r>
        <w:rPr>
          <w:color w:val="auto"/>
          <w:sz w:val="32"/>
          <w:szCs w:val="32"/>
        </w:rPr>
        <w:instrText xml:space="preserve"> PAGEREF _Toc3010 \h </w:instrText>
      </w:r>
      <w:r>
        <w:rPr>
          <w:color w:val="auto"/>
          <w:sz w:val="32"/>
          <w:szCs w:val="32"/>
        </w:rPr>
        <w:fldChar w:fldCharType="separate"/>
      </w:r>
      <w:r>
        <w:rPr>
          <w:color w:val="auto"/>
          <w:sz w:val="32"/>
          <w:szCs w:val="32"/>
        </w:rPr>
        <w:t>4</w:t>
      </w:r>
      <w:r>
        <w:rPr>
          <w:color w:val="auto"/>
          <w:sz w:val="32"/>
          <w:szCs w:val="32"/>
        </w:rPr>
        <w:fldChar w:fldCharType="end"/>
      </w:r>
      <w:r>
        <w:rPr>
          <w:rFonts w:hint="eastAsia" w:ascii="宋体" w:hAnsi="宋体" w:cs="宋体"/>
          <w:color w:val="auto"/>
          <w:sz w:val="32"/>
          <w:szCs w:val="36"/>
          <w:highlight w:val="none"/>
        </w:rPr>
        <w:fldChar w:fldCharType="end"/>
      </w:r>
    </w:p>
    <w:p w14:paraId="3E7CE610">
      <w:pPr>
        <w:pStyle w:val="34"/>
        <w:tabs>
          <w:tab w:val="right" w:leader="dot" w:pos="9746"/>
          <w:tab w:val="clear" w:pos="8398"/>
        </w:tabs>
        <w:spacing w:line="360" w:lineRule="auto"/>
        <w:rPr>
          <w:color w:val="auto"/>
          <w:sz w:val="32"/>
          <w:szCs w:val="32"/>
        </w:rPr>
      </w:pPr>
      <w:r>
        <w:rPr>
          <w:rFonts w:hint="eastAsia" w:ascii="宋体" w:hAnsi="宋体" w:cs="宋体"/>
          <w:color w:val="auto"/>
          <w:sz w:val="32"/>
          <w:szCs w:val="36"/>
          <w:highlight w:val="none"/>
        </w:rPr>
        <w:fldChar w:fldCharType="begin"/>
      </w:r>
      <w:r>
        <w:rPr>
          <w:rFonts w:hint="eastAsia" w:ascii="宋体" w:hAnsi="宋体" w:cs="宋体"/>
          <w:color w:val="auto"/>
          <w:sz w:val="32"/>
          <w:szCs w:val="36"/>
          <w:highlight w:val="none"/>
        </w:rPr>
        <w:instrText xml:space="preserve"> HYPERLINK \l _Toc7629 </w:instrText>
      </w:r>
      <w:r>
        <w:rPr>
          <w:rFonts w:hint="eastAsia" w:ascii="宋体" w:hAnsi="宋体" w:cs="宋体"/>
          <w:color w:val="auto"/>
          <w:sz w:val="32"/>
          <w:szCs w:val="36"/>
          <w:highlight w:val="none"/>
        </w:rPr>
        <w:fldChar w:fldCharType="separate"/>
      </w:r>
      <w:r>
        <w:rPr>
          <w:rFonts w:hint="eastAsia"/>
          <w:color w:val="auto"/>
          <w:sz w:val="32"/>
          <w:szCs w:val="32"/>
          <w:highlight w:val="none"/>
        </w:rPr>
        <w:t>第三章  投标人须知</w:t>
      </w:r>
      <w:r>
        <w:rPr>
          <w:color w:val="auto"/>
          <w:sz w:val="32"/>
          <w:szCs w:val="32"/>
        </w:rPr>
        <w:tab/>
      </w:r>
      <w:r>
        <w:rPr>
          <w:color w:val="auto"/>
          <w:sz w:val="32"/>
          <w:szCs w:val="32"/>
        </w:rPr>
        <w:fldChar w:fldCharType="begin"/>
      </w:r>
      <w:r>
        <w:rPr>
          <w:color w:val="auto"/>
          <w:sz w:val="32"/>
          <w:szCs w:val="32"/>
        </w:rPr>
        <w:instrText xml:space="preserve"> PAGEREF _Toc7629 \h </w:instrText>
      </w:r>
      <w:r>
        <w:rPr>
          <w:color w:val="auto"/>
          <w:sz w:val="32"/>
          <w:szCs w:val="32"/>
        </w:rPr>
        <w:fldChar w:fldCharType="separate"/>
      </w:r>
      <w:r>
        <w:rPr>
          <w:color w:val="auto"/>
          <w:sz w:val="32"/>
          <w:szCs w:val="32"/>
        </w:rPr>
        <w:t>20</w:t>
      </w:r>
      <w:r>
        <w:rPr>
          <w:color w:val="auto"/>
          <w:sz w:val="32"/>
          <w:szCs w:val="32"/>
        </w:rPr>
        <w:fldChar w:fldCharType="end"/>
      </w:r>
      <w:r>
        <w:rPr>
          <w:rFonts w:hint="eastAsia" w:ascii="宋体" w:hAnsi="宋体" w:cs="宋体"/>
          <w:color w:val="auto"/>
          <w:sz w:val="32"/>
          <w:szCs w:val="36"/>
          <w:highlight w:val="none"/>
        </w:rPr>
        <w:fldChar w:fldCharType="end"/>
      </w:r>
    </w:p>
    <w:p w14:paraId="0ECFF6E5">
      <w:pPr>
        <w:pStyle w:val="34"/>
        <w:tabs>
          <w:tab w:val="right" w:leader="dot" w:pos="9746"/>
          <w:tab w:val="clear" w:pos="8398"/>
        </w:tabs>
        <w:spacing w:line="360" w:lineRule="auto"/>
        <w:rPr>
          <w:color w:val="auto"/>
          <w:sz w:val="32"/>
          <w:szCs w:val="32"/>
        </w:rPr>
      </w:pPr>
      <w:r>
        <w:rPr>
          <w:rFonts w:hint="eastAsia" w:ascii="宋体" w:hAnsi="宋体" w:cs="宋体"/>
          <w:color w:val="auto"/>
          <w:sz w:val="32"/>
          <w:szCs w:val="36"/>
          <w:highlight w:val="none"/>
        </w:rPr>
        <w:fldChar w:fldCharType="begin"/>
      </w:r>
      <w:r>
        <w:rPr>
          <w:rFonts w:hint="eastAsia" w:ascii="宋体" w:hAnsi="宋体" w:cs="宋体"/>
          <w:color w:val="auto"/>
          <w:sz w:val="32"/>
          <w:szCs w:val="36"/>
          <w:highlight w:val="none"/>
        </w:rPr>
        <w:instrText xml:space="preserve"> HYPERLINK \l _Toc6654 </w:instrText>
      </w:r>
      <w:r>
        <w:rPr>
          <w:rFonts w:hint="eastAsia" w:ascii="宋体" w:hAnsi="宋体" w:cs="宋体"/>
          <w:color w:val="auto"/>
          <w:sz w:val="32"/>
          <w:szCs w:val="36"/>
          <w:highlight w:val="none"/>
        </w:rPr>
        <w:fldChar w:fldCharType="separate"/>
      </w:r>
      <w:r>
        <w:rPr>
          <w:rFonts w:hint="eastAsia"/>
          <w:color w:val="auto"/>
          <w:sz w:val="32"/>
          <w:szCs w:val="32"/>
          <w:highlight w:val="none"/>
        </w:rPr>
        <w:t>第四章  评标方法及评标标准</w:t>
      </w:r>
      <w:r>
        <w:rPr>
          <w:color w:val="auto"/>
          <w:sz w:val="32"/>
          <w:szCs w:val="32"/>
        </w:rPr>
        <w:tab/>
      </w:r>
      <w:r>
        <w:rPr>
          <w:color w:val="auto"/>
          <w:sz w:val="32"/>
          <w:szCs w:val="32"/>
        </w:rPr>
        <w:fldChar w:fldCharType="begin"/>
      </w:r>
      <w:r>
        <w:rPr>
          <w:color w:val="auto"/>
          <w:sz w:val="32"/>
          <w:szCs w:val="32"/>
        </w:rPr>
        <w:instrText xml:space="preserve"> PAGEREF _Toc6654 \h </w:instrText>
      </w:r>
      <w:r>
        <w:rPr>
          <w:color w:val="auto"/>
          <w:sz w:val="32"/>
          <w:szCs w:val="32"/>
        </w:rPr>
        <w:fldChar w:fldCharType="separate"/>
      </w:r>
      <w:r>
        <w:rPr>
          <w:color w:val="auto"/>
          <w:sz w:val="32"/>
          <w:szCs w:val="32"/>
        </w:rPr>
        <w:t>42</w:t>
      </w:r>
      <w:r>
        <w:rPr>
          <w:color w:val="auto"/>
          <w:sz w:val="32"/>
          <w:szCs w:val="32"/>
        </w:rPr>
        <w:fldChar w:fldCharType="end"/>
      </w:r>
      <w:r>
        <w:rPr>
          <w:rFonts w:hint="eastAsia" w:ascii="宋体" w:hAnsi="宋体" w:cs="宋体"/>
          <w:color w:val="auto"/>
          <w:sz w:val="32"/>
          <w:szCs w:val="36"/>
          <w:highlight w:val="none"/>
        </w:rPr>
        <w:fldChar w:fldCharType="end"/>
      </w:r>
    </w:p>
    <w:p w14:paraId="186F6D1C">
      <w:pPr>
        <w:pStyle w:val="34"/>
        <w:tabs>
          <w:tab w:val="right" w:leader="dot" w:pos="9746"/>
          <w:tab w:val="clear" w:pos="8398"/>
        </w:tabs>
        <w:spacing w:line="360" w:lineRule="auto"/>
        <w:rPr>
          <w:color w:val="auto"/>
          <w:sz w:val="32"/>
          <w:szCs w:val="32"/>
        </w:rPr>
      </w:pPr>
      <w:r>
        <w:rPr>
          <w:rFonts w:hint="eastAsia" w:ascii="宋体" w:hAnsi="宋体" w:cs="宋体"/>
          <w:color w:val="auto"/>
          <w:sz w:val="32"/>
          <w:szCs w:val="36"/>
          <w:highlight w:val="none"/>
        </w:rPr>
        <w:fldChar w:fldCharType="begin"/>
      </w:r>
      <w:r>
        <w:rPr>
          <w:rFonts w:hint="eastAsia" w:ascii="宋体" w:hAnsi="宋体" w:cs="宋体"/>
          <w:color w:val="auto"/>
          <w:sz w:val="32"/>
          <w:szCs w:val="36"/>
          <w:highlight w:val="none"/>
        </w:rPr>
        <w:instrText xml:space="preserve"> HYPERLINK \l _Toc22794 </w:instrText>
      </w:r>
      <w:r>
        <w:rPr>
          <w:rFonts w:hint="eastAsia" w:ascii="宋体" w:hAnsi="宋体" w:cs="宋体"/>
          <w:color w:val="auto"/>
          <w:sz w:val="32"/>
          <w:szCs w:val="36"/>
          <w:highlight w:val="none"/>
        </w:rPr>
        <w:fldChar w:fldCharType="separate"/>
      </w:r>
      <w:r>
        <w:rPr>
          <w:rFonts w:hint="eastAsia"/>
          <w:color w:val="auto"/>
          <w:sz w:val="32"/>
          <w:szCs w:val="32"/>
          <w:highlight w:val="none"/>
        </w:rPr>
        <w:t>第五章  拟签订的合同文本</w:t>
      </w:r>
      <w:r>
        <w:rPr>
          <w:color w:val="auto"/>
          <w:sz w:val="32"/>
          <w:szCs w:val="32"/>
        </w:rPr>
        <w:tab/>
      </w:r>
      <w:r>
        <w:rPr>
          <w:color w:val="auto"/>
          <w:sz w:val="32"/>
          <w:szCs w:val="32"/>
        </w:rPr>
        <w:fldChar w:fldCharType="begin"/>
      </w:r>
      <w:r>
        <w:rPr>
          <w:color w:val="auto"/>
          <w:sz w:val="32"/>
          <w:szCs w:val="32"/>
        </w:rPr>
        <w:instrText xml:space="preserve"> PAGEREF _Toc22794 \h </w:instrText>
      </w:r>
      <w:r>
        <w:rPr>
          <w:color w:val="auto"/>
          <w:sz w:val="32"/>
          <w:szCs w:val="32"/>
        </w:rPr>
        <w:fldChar w:fldCharType="separate"/>
      </w:r>
      <w:r>
        <w:rPr>
          <w:color w:val="auto"/>
          <w:sz w:val="32"/>
          <w:szCs w:val="32"/>
        </w:rPr>
        <w:t>52</w:t>
      </w:r>
      <w:r>
        <w:rPr>
          <w:color w:val="auto"/>
          <w:sz w:val="32"/>
          <w:szCs w:val="32"/>
        </w:rPr>
        <w:fldChar w:fldCharType="end"/>
      </w:r>
      <w:r>
        <w:rPr>
          <w:rFonts w:hint="eastAsia" w:ascii="宋体" w:hAnsi="宋体" w:cs="宋体"/>
          <w:color w:val="auto"/>
          <w:sz w:val="32"/>
          <w:szCs w:val="36"/>
          <w:highlight w:val="none"/>
        </w:rPr>
        <w:fldChar w:fldCharType="end"/>
      </w:r>
    </w:p>
    <w:p w14:paraId="4E9B83C9">
      <w:pPr>
        <w:pStyle w:val="34"/>
        <w:tabs>
          <w:tab w:val="right" w:leader="dot" w:pos="9746"/>
          <w:tab w:val="clear" w:pos="8398"/>
        </w:tabs>
        <w:spacing w:line="360" w:lineRule="auto"/>
        <w:rPr>
          <w:color w:val="auto"/>
          <w:sz w:val="32"/>
          <w:szCs w:val="32"/>
        </w:rPr>
      </w:pPr>
      <w:r>
        <w:rPr>
          <w:rFonts w:hint="eastAsia" w:ascii="宋体" w:hAnsi="宋体" w:cs="宋体"/>
          <w:color w:val="auto"/>
          <w:sz w:val="32"/>
          <w:szCs w:val="36"/>
          <w:highlight w:val="none"/>
        </w:rPr>
        <w:fldChar w:fldCharType="begin"/>
      </w:r>
      <w:r>
        <w:rPr>
          <w:rFonts w:hint="eastAsia" w:ascii="宋体" w:hAnsi="宋体" w:cs="宋体"/>
          <w:color w:val="auto"/>
          <w:sz w:val="32"/>
          <w:szCs w:val="36"/>
          <w:highlight w:val="none"/>
        </w:rPr>
        <w:instrText xml:space="preserve"> HYPERLINK \l _Toc3263 </w:instrText>
      </w:r>
      <w:r>
        <w:rPr>
          <w:rFonts w:hint="eastAsia" w:ascii="宋体" w:hAnsi="宋体" w:cs="宋体"/>
          <w:color w:val="auto"/>
          <w:sz w:val="32"/>
          <w:szCs w:val="36"/>
          <w:highlight w:val="none"/>
        </w:rPr>
        <w:fldChar w:fldCharType="separate"/>
      </w:r>
      <w:r>
        <w:rPr>
          <w:rFonts w:hint="eastAsia"/>
          <w:color w:val="auto"/>
          <w:sz w:val="32"/>
          <w:szCs w:val="32"/>
          <w:highlight w:val="none"/>
        </w:rPr>
        <w:t>第六章　投标文件格式</w:t>
      </w:r>
      <w:r>
        <w:rPr>
          <w:color w:val="auto"/>
          <w:sz w:val="32"/>
          <w:szCs w:val="32"/>
        </w:rPr>
        <w:tab/>
      </w:r>
      <w:r>
        <w:rPr>
          <w:color w:val="auto"/>
          <w:sz w:val="32"/>
          <w:szCs w:val="32"/>
        </w:rPr>
        <w:fldChar w:fldCharType="begin"/>
      </w:r>
      <w:r>
        <w:rPr>
          <w:color w:val="auto"/>
          <w:sz w:val="32"/>
          <w:szCs w:val="32"/>
        </w:rPr>
        <w:instrText xml:space="preserve"> PAGEREF _Toc3263 \h </w:instrText>
      </w:r>
      <w:r>
        <w:rPr>
          <w:color w:val="auto"/>
          <w:sz w:val="32"/>
          <w:szCs w:val="32"/>
        </w:rPr>
        <w:fldChar w:fldCharType="separate"/>
      </w:r>
      <w:r>
        <w:rPr>
          <w:color w:val="auto"/>
          <w:sz w:val="32"/>
          <w:szCs w:val="32"/>
        </w:rPr>
        <w:t>63</w:t>
      </w:r>
      <w:r>
        <w:rPr>
          <w:color w:val="auto"/>
          <w:sz w:val="32"/>
          <w:szCs w:val="32"/>
        </w:rPr>
        <w:fldChar w:fldCharType="end"/>
      </w:r>
      <w:r>
        <w:rPr>
          <w:rFonts w:hint="eastAsia" w:ascii="宋体" w:hAnsi="宋体" w:cs="宋体"/>
          <w:color w:val="auto"/>
          <w:sz w:val="32"/>
          <w:szCs w:val="36"/>
          <w:highlight w:val="none"/>
        </w:rPr>
        <w:fldChar w:fldCharType="end"/>
      </w:r>
    </w:p>
    <w:p w14:paraId="35C186D2">
      <w:pPr>
        <w:shd w:val="clear"/>
        <w:spacing w:before="120" w:beforeLines="50" w:line="360" w:lineRule="auto"/>
        <w:rPr>
          <w:rFonts w:hint="eastAsia" w:ascii="仿宋_GB2312" w:hAnsi="宋体" w:eastAsia="仿宋_GB2312"/>
          <w:color w:val="auto"/>
          <w:sz w:val="24"/>
          <w:highlight w:val="none"/>
        </w:rPr>
      </w:pPr>
      <w:r>
        <w:rPr>
          <w:rFonts w:hint="eastAsia" w:ascii="宋体" w:hAnsi="宋体" w:cs="宋体"/>
          <w:b/>
          <w:color w:val="auto"/>
          <w:sz w:val="36"/>
          <w:szCs w:val="36"/>
          <w:highlight w:val="none"/>
        </w:rPr>
        <w:fldChar w:fldCharType="end"/>
      </w:r>
    </w:p>
    <w:p w14:paraId="63C3F2FD">
      <w:pPr>
        <w:shd w:val="clear"/>
        <w:spacing w:before="120" w:beforeLines="50" w:line="480" w:lineRule="exact"/>
        <w:rPr>
          <w:rFonts w:hint="eastAsia" w:ascii="仿宋_GB2312" w:hAnsi="宋体" w:eastAsia="仿宋_GB2312"/>
          <w:color w:val="auto"/>
          <w:sz w:val="30"/>
          <w:highlight w:val="none"/>
        </w:rPr>
      </w:pPr>
    </w:p>
    <w:p w14:paraId="50E66CDA">
      <w:pPr>
        <w:pStyle w:val="19"/>
        <w:shd w:val="clear"/>
        <w:rPr>
          <w:color w:val="auto"/>
          <w:highlight w:val="none"/>
        </w:rPr>
      </w:pPr>
    </w:p>
    <w:p w14:paraId="25F6D61A">
      <w:pPr>
        <w:shd w:val="clear"/>
        <w:rPr>
          <w:color w:val="auto"/>
          <w:highlight w:val="none"/>
        </w:rPr>
      </w:pPr>
    </w:p>
    <w:p w14:paraId="484AAEC3">
      <w:pPr>
        <w:shd w:val="clear"/>
        <w:spacing w:before="120" w:beforeLines="50" w:line="480" w:lineRule="exact"/>
        <w:rPr>
          <w:rFonts w:hint="eastAsia" w:ascii="仿宋_GB2312" w:hAnsi="宋体" w:eastAsia="仿宋_GB2312"/>
          <w:color w:val="auto"/>
          <w:sz w:val="30"/>
          <w:highlight w:val="none"/>
        </w:rPr>
      </w:pPr>
    </w:p>
    <w:p w14:paraId="319E8E5E">
      <w:pPr>
        <w:shd w:val="clear"/>
        <w:spacing w:before="120" w:beforeLines="50" w:line="480" w:lineRule="exact"/>
        <w:rPr>
          <w:rFonts w:hint="eastAsia" w:ascii="仿宋_GB2312" w:hAnsi="宋体" w:eastAsia="仿宋_GB2312"/>
          <w:color w:val="auto"/>
          <w:sz w:val="30"/>
          <w:highlight w:val="none"/>
        </w:rPr>
      </w:pPr>
    </w:p>
    <w:p w14:paraId="4F361F3A">
      <w:pPr>
        <w:pStyle w:val="17"/>
        <w:shd w:val="clear"/>
        <w:rPr>
          <w:rFonts w:hint="eastAsia" w:ascii="宋体" w:hAnsi="宋体" w:cs="宋体"/>
          <w:b/>
          <w:bCs/>
          <w:color w:val="auto"/>
          <w:highlight w:val="none"/>
        </w:rPr>
      </w:pPr>
      <w:bookmarkStart w:id="0" w:name="_Toc254970630"/>
      <w:bookmarkStart w:id="1" w:name="_Toc254970489"/>
    </w:p>
    <w:p w14:paraId="1ED394E8">
      <w:pPr>
        <w:pStyle w:val="3"/>
        <w:keepNext w:val="0"/>
        <w:keepLines w:val="0"/>
        <w:shd w:val="clear"/>
        <w:tabs>
          <w:tab w:val="left" w:pos="0"/>
          <w:tab w:val="left" w:pos="3165"/>
          <w:tab w:val="center" w:pos="4153"/>
        </w:tabs>
        <w:autoSpaceDE w:val="0"/>
        <w:autoSpaceDN w:val="0"/>
        <w:adjustRightInd w:val="0"/>
        <w:spacing w:before="0" w:after="0" w:line="360" w:lineRule="auto"/>
        <w:jc w:val="center"/>
        <w:rPr>
          <w:rFonts w:hint="eastAsia" w:ascii="宋体" w:hAnsi="宋体" w:cs="宋体"/>
          <w:b w:val="0"/>
          <w:bCs w:val="0"/>
          <w:color w:val="auto"/>
          <w:highlight w:val="none"/>
        </w:rPr>
        <w:sectPr>
          <w:footerReference r:id="rId4" w:type="default"/>
          <w:pgSz w:w="11906" w:h="16838"/>
          <w:pgMar w:top="1440" w:right="1080" w:bottom="1440" w:left="1080" w:header="851" w:footer="992" w:gutter="0"/>
          <w:pgNumType w:start="1"/>
          <w:cols w:space="720" w:num="1"/>
          <w:docGrid w:linePitch="312" w:charSpace="0"/>
        </w:sectPr>
      </w:pPr>
      <w:r>
        <w:rPr>
          <w:rFonts w:ascii="宋体" w:hAnsi="宋体" w:cs="宋体"/>
          <w:b w:val="0"/>
          <w:bCs w:val="0"/>
          <w:color w:val="auto"/>
          <w:highlight w:val="none"/>
        </w:rPr>
        <w:br w:type="page"/>
      </w:r>
      <w:bookmarkStart w:id="2" w:name="_Toc74320800"/>
    </w:p>
    <w:p w14:paraId="0E58ACDD">
      <w:pPr>
        <w:pStyle w:val="3"/>
        <w:keepNext w:val="0"/>
        <w:keepLines w:val="0"/>
        <w:shd w:val="clear"/>
        <w:tabs>
          <w:tab w:val="left" w:pos="0"/>
          <w:tab w:val="left" w:pos="3165"/>
          <w:tab w:val="center" w:pos="4153"/>
        </w:tabs>
        <w:autoSpaceDE w:val="0"/>
        <w:autoSpaceDN w:val="0"/>
        <w:adjustRightInd w:val="0"/>
        <w:spacing w:before="0" w:after="0" w:line="360" w:lineRule="auto"/>
        <w:jc w:val="center"/>
        <w:rPr>
          <w:color w:val="auto"/>
          <w:highlight w:val="none"/>
        </w:rPr>
      </w:pPr>
      <w:bookmarkStart w:id="3" w:name="_Toc10071"/>
      <w:r>
        <w:rPr>
          <w:rFonts w:hint="eastAsia"/>
          <w:color w:val="auto"/>
          <w:highlight w:val="none"/>
        </w:rPr>
        <w:t>第一章</w:t>
      </w:r>
      <w:bookmarkEnd w:id="0"/>
      <w:bookmarkEnd w:id="1"/>
      <w:bookmarkStart w:id="4" w:name="_Toc28359001"/>
      <w:bookmarkStart w:id="5" w:name="_Toc35393789"/>
      <w:r>
        <w:rPr>
          <w:rFonts w:hint="eastAsia"/>
          <w:color w:val="auto"/>
          <w:highlight w:val="none"/>
        </w:rPr>
        <w:t xml:space="preserve"> 招标公告</w:t>
      </w:r>
      <w:bookmarkEnd w:id="2"/>
      <w:bookmarkEnd w:id="3"/>
      <w:bookmarkEnd w:id="4"/>
      <w:bookmarkEnd w:id="5"/>
    </w:p>
    <w:p w14:paraId="6CDAA0AD">
      <w:pPr>
        <w:pBdr>
          <w:top w:val="single" w:color="auto" w:sz="4" w:space="1"/>
          <w:left w:val="single" w:color="auto" w:sz="4" w:space="4"/>
          <w:bottom w:val="single" w:color="auto" w:sz="4" w:space="1"/>
          <w:right w:val="single" w:color="auto" w:sz="4" w:space="4"/>
        </w:pBdr>
        <w:shd w:val="clear"/>
        <w:wordWrap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项目概况</w:t>
      </w:r>
    </w:p>
    <w:p w14:paraId="2D3BC697">
      <w:pPr>
        <w:pBdr>
          <w:top w:val="single" w:color="auto" w:sz="4" w:space="1"/>
          <w:left w:val="single" w:color="auto" w:sz="4" w:space="4"/>
          <w:bottom w:val="single" w:color="auto" w:sz="4" w:space="1"/>
          <w:right w:val="single" w:color="auto" w:sz="4" w:space="4"/>
        </w:pBdr>
        <w:shd w:val="clea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lang w:eastAsia="zh-CN"/>
        </w:rPr>
        <w:t>被服、布草洗涤服务采购项目</w:t>
      </w:r>
      <w:r>
        <w:rPr>
          <w:rFonts w:hint="eastAsia" w:ascii="宋体" w:hAnsi="宋体" w:cs="宋体"/>
          <w:color w:val="auto"/>
          <w:szCs w:val="21"/>
          <w:highlight w:val="none"/>
        </w:rPr>
        <w:t>招标项目的潜在投标人应在广西政府采购云平台（https://www.gcy.zfcg.gxzf.gov.cn/）获取招标文件，并于</w:t>
      </w:r>
      <w:bookmarkStart w:id="6" w:name="PO_3000001867_PM015"/>
      <w:r>
        <w:rPr>
          <w:rFonts w:hint="eastAsia" w:ascii="宋体" w:hAnsi="宋体" w:cs="宋体"/>
          <w:color w:val="auto"/>
          <w:szCs w:val="21"/>
          <w:highlight w:val="none"/>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日09:30</w:t>
      </w:r>
      <w:bookmarkEnd w:id="6"/>
      <w:r>
        <w:rPr>
          <w:rFonts w:hint="eastAsia" w:ascii="宋体" w:hAnsi="宋体" w:cs="宋体"/>
          <w:color w:val="auto"/>
          <w:szCs w:val="21"/>
          <w:highlight w:val="none"/>
        </w:rPr>
        <w:t>（北京时间）前递交投标文件。</w:t>
      </w:r>
    </w:p>
    <w:p w14:paraId="04598E4B">
      <w:pPr>
        <w:shd w:val="clear"/>
        <w:spacing w:line="360" w:lineRule="auto"/>
        <w:rPr>
          <w:rFonts w:hint="eastAsia" w:ascii="宋体" w:hAnsi="宋体" w:cs="宋体"/>
          <w:b/>
          <w:bCs/>
          <w:color w:val="auto"/>
          <w:szCs w:val="21"/>
          <w:highlight w:val="none"/>
        </w:rPr>
      </w:pPr>
      <w:bookmarkStart w:id="7" w:name="_Toc35393621"/>
      <w:bookmarkStart w:id="8" w:name="_Toc35393790"/>
      <w:bookmarkStart w:id="9" w:name="_Toc28359079"/>
      <w:bookmarkStart w:id="10" w:name="_Toc28359002"/>
      <w:bookmarkStart w:id="11" w:name="_Hlk24379207"/>
      <w:r>
        <w:rPr>
          <w:rFonts w:hint="eastAsia" w:ascii="宋体" w:hAnsi="宋体" w:cs="宋体"/>
          <w:b/>
          <w:bCs/>
          <w:color w:val="auto"/>
          <w:szCs w:val="21"/>
          <w:highlight w:val="none"/>
        </w:rPr>
        <w:t>一、项目基本情况</w:t>
      </w:r>
      <w:bookmarkEnd w:id="7"/>
      <w:bookmarkEnd w:id="8"/>
      <w:bookmarkEnd w:id="9"/>
      <w:bookmarkEnd w:id="10"/>
    </w:p>
    <w:p w14:paraId="03DD790A">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GXZC2026-G3-002191-HCZB</w:t>
      </w:r>
      <w:r>
        <w:rPr>
          <w:rFonts w:hint="eastAsia" w:ascii="宋体" w:hAnsi="宋体" w:cs="宋体"/>
          <w:color w:val="auto"/>
          <w:szCs w:val="21"/>
          <w:highlight w:val="none"/>
        </w:rPr>
        <w:t>（采购计划备案文号:广西政采[2026]11269号）</w:t>
      </w:r>
    </w:p>
    <w:p w14:paraId="5546AB7F">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被服、布草洗涤服务采购项目</w:t>
      </w:r>
    </w:p>
    <w:bookmarkEnd w:id="11"/>
    <w:p w14:paraId="13EE9DAF">
      <w:pPr>
        <w:shd w:val="clear"/>
        <w:spacing w:line="360" w:lineRule="auto"/>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预算金额：人民币</w:t>
      </w:r>
      <w:r>
        <w:rPr>
          <w:rFonts w:hint="eastAsia" w:ascii="宋体" w:hAnsi="宋体" w:cs="宋体"/>
          <w:color w:val="auto"/>
          <w:szCs w:val="21"/>
          <w:highlight w:val="none"/>
          <w:lang w:eastAsia="zh-CN"/>
        </w:rPr>
        <w:t>460万元</w:t>
      </w:r>
    </w:p>
    <w:p w14:paraId="2CE18B98">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最高限价：人民币</w:t>
      </w:r>
      <w:r>
        <w:rPr>
          <w:rFonts w:hint="eastAsia" w:ascii="宋体" w:hAnsi="宋体" w:cs="宋体"/>
          <w:color w:val="auto"/>
          <w:szCs w:val="21"/>
          <w:highlight w:val="none"/>
          <w:lang w:eastAsia="zh-CN"/>
        </w:rPr>
        <w:t>460万元</w:t>
      </w:r>
    </w:p>
    <w:p w14:paraId="18EBB751">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采购需求：</w:t>
      </w:r>
      <w:r>
        <w:rPr>
          <w:rFonts w:hint="eastAsia" w:ascii="宋体" w:hAnsi="宋体" w:cs="宋体"/>
          <w:color w:val="auto"/>
          <w:szCs w:val="21"/>
          <w:highlight w:val="none"/>
          <w:lang w:eastAsia="zh-CN"/>
        </w:rPr>
        <w:t>被服、布草洗涤服务</w:t>
      </w:r>
      <w:r>
        <w:rPr>
          <w:rFonts w:hint="eastAsia" w:ascii="宋体" w:hAnsi="宋体" w:cs="宋体"/>
          <w:color w:val="auto"/>
          <w:szCs w:val="21"/>
          <w:highlight w:val="none"/>
          <w:lang w:val="en-US" w:eastAsia="zh-CN"/>
        </w:rPr>
        <w:t>1项；</w:t>
      </w:r>
      <w:r>
        <w:rPr>
          <w:rFonts w:hint="eastAsia" w:ascii="宋体" w:hAnsi="宋体" w:cs="宋体"/>
          <w:color w:val="auto"/>
          <w:szCs w:val="21"/>
          <w:highlight w:val="none"/>
        </w:rPr>
        <w:t>如需进一步了解详细内容，详见招标文件。</w:t>
      </w:r>
    </w:p>
    <w:p w14:paraId="54FAD960">
      <w:pPr>
        <w:shd w:val="clea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合同履约期限：</w:t>
      </w:r>
      <w:r>
        <w:rPr>
          <w:rFonts w:hint="eastAsia" w:ascii="宋体" w:hAnsi="宋体" w:cs="宋体"/>
          <w:color w:val="auto"/>
          <w:szCs w:val="21"/>
          <w:highlight w:val="none"/>
          <w:lang w:eastAsia="zh-CN"/>
        </w:rPr>
        <w:t>服务期限2年</w:t>
      </w:r>
      <w:r>
        <w:rPr>
          <w:rFonts w:hint="eastAsia" w:ascii="宋体" w:hAnsi="宋体" w:cs="宋体"/>
          <w:color w:val="auto"/>
          <w:szCs w:val="21"/>
          <w:highlight w:val="none"/>
        </w:rPr>
        <w:t>。</w:t>
      </w:r>
    </w:p>
    <w:p w14:paraId="6FC746A3">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本项目不接受联合体投标。</w:t>
      </w:r>
    </w:p>
    <w:p w14:paraId="44804A40">
      <w:pPr>
        <w:shd w:val="clear"/>
        <w:spacing w:line="360" w:lineRule="auto"/>
        <w:rPr>
          <w:rFonts w:hint="eastAsia" w:ascii="宋体" w:hAnsi="宋体" w:cs="宋体"/>
          <w:b/>
          <w:bCs/>
          <w:color w:val="auto"/>
          <w:szCs w:val="21"/>
          <w:highlight w:val="none"/>
        </w:rPr>
      </w:pPr>
      <w:bookmarkStart w:id="12" w:name="_Toc35393622"/>
      <w:bookmarkStart w:id="13" w:name="_Toc28359003"/>
      <w:bookmarkStart w:id="14" w:name="_Toc35393791"/>
      <w:bookmarkStart w:id="15" w:name="_Toc28359080"/>
      <w:r>
        <w:rPr>
          <w:rFonts w:hint="eastAsia" w:ascii="宋体" w:hAnsi="宋体" w:cs="宋体"/>
          <w:b/>
          <w:bCs/>
          <w:color w:val="auto"/>
          <w:szCs w:val="21"/>
          <w:highlight w:val="none"/>
        </w:rPr>
        <w:t>二、申请人的资格要求：</w:t>
      </w:r>
      <w:bookmarkEnd w:id="12"/>
      <w:bookmarkEnd w:id="13"/>
      <w:bookmarkEnd w:id="14"/>
      <w:bookmarkEnd w:id="15"/>
    </w:p>
    <w:p w14:paraId="240594D3">
      <w:pPr>
        <w:shd w:val="clear"/>
        <w:spacing w:line="360" w:lineRule="auto"/>
        <w:ind w:firstLine="472" w:firstLineChars="225"/>
        <w:rPr>
          <w:rFonts w:hint="eastAsia" w:ascii="宋体" w:hAnsi="宋体" w:cs="宋体"/>
          <w:color w:val="auto"/>
          <w:szCs w:val="21"/>
          <w:highlight w:val="none"/>
        </w:rPr>
      </w:pPr>
      <w:bookmarkStart w:id="16" w:name="_Hlk51746371"/>
      <w:bookmarkStart w:id="17" w:name="_Toc28359081"/>
      <w:bookmarkStart w:id="18" w:name="_Toc28359004"/>
      <w:r>
        <w:rPr>
          <w:rFonts w:hint="eastAsia" w:ascii="宋体" w:hAnsi="宋体" w:cs="宋体"/>
          <w:color w:val="auto"/>
          <w:szCs w:val="21"/>
          <w:highlight w:val="none"/>
        </w:rPr>
        <w:t>1、满足《中华人民共和国政府采购法》第二十二条规定。</w:t>
      </w:r>
    </w:p>
    <w:p w14:paraId="3750A934">
      <w:pPr>
        <w:shd w:val="clear"/>
        <w:spacing w:line="360" w:lineRule="auto"/>
        <w:ind w:firstLine="472" w:firstLineChars="225"/>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w:t>
      </w:r>
      <w:r>
        <w:rPr>
          <w:rFonts w:hint="eastAsia" w:ascii="宋体" w:hAnsi="宋体" w:cs="宋体"/>
          <w:color w:val="auto"/>
          <w:szCs w:val="21"/>
          <w:highlight w:val="none"/>
          <w:lang w:val="en-US" w:eastAsia="zh-CN"/>
        </w:rPr>
        <w:t>非专门面向中小企业采购的项目</w:t>
      </w:r>
      <w:r>
        <w:rPr>
          <w:rFonts w:hint="eastAsia" w:ascii="宋体" w:hAnsi="宋体" w:cs="宋体"/>
          <w:color w:val="auto"/>
          <w:szCs w:val="21"/>
          <w:highlight w:val="none"/>
        </w:rPr>
        <w:t>。</w:t>
      </w:r>
    </w:p>
    <w:p w14:paraId="159D8EFA">
      <w:pPr>
        <w:shd w:val="clear"/>
        <w:spacing w:line="360" w:lineRule="auto"/>
        <w:ind w:firstLine="472" w:firstLineChars="225"/>
        <w:rPr>
          <w:rFonts w:hint="eastAsia" w:ascii="宋体" w:hAnsi="宋体" w:cs="宋体"/>
          <w:color w:val="auto"/>
          <w:szCs w:val="21"/>
          <w:highlight w:val="none"/>
        </w:rPr>
      </w:pPr>
      <w:r>
        <w:rPr>
          <w:rFonts w:hint="eastAsia" w:ascii="宋体" w:hAnsi="宋体" w:cs="宋体"/>
          <w:color w:val="auto"/>
          <w:szCs w:val="21"/>
          <w:highlight w:val="none"/>
        </w:rPr>
        <w:t>3、本项目的特定资格要求：</w:t>
      </w:r>
      <w:r>
        <w:rPr>
          <w:rFonts w:hint="eastAsia" w:ascii="宋体" w:hAnsi="宋体" w:cs="宋体"/>
          <w:color w:val="auto"/>
          <w:szCs w:val="21"/>
          <w:highlight w:val="none"/>
          <w:lang w:val="en-US" w:eastAsia="zh-CN"/>
        </w:rPr>
        <w:t>无</w:t>
      </w:r>
      <w:r>
        <w:rPr>
          <w:rFonts w:hint="eastAsia" w:ascii="宋体" w:hAnsi="宋体" w:cs="宋体"/>
          <w:color w:val="auto"/>
          <w:szCs w:val="21"/>
          <w:highlight w:val="none"/>
        </w:rPr>
        <w:t>。</w:t>
      </w:r>
    </w:p>
    <w:bookmarkEnd w:id="16"/>
    <w:bookmarkEnd w:id="17"/>
    <w:bookmarkEnd w:id="18"/>
    <w:p w14:paraId="46618735">
      <w:pPr>
        <w:shd w:val="clear"/>
        <w:spacing w:line="360" w:lineRule="auto"/>
        <w:rPr>
          <w:rFonts w:hint="eastAsia" w:ascii="宋体" w:hAnsi="宋体" w:cs="宋体"/>
          <w:b/>
          <w:bCs/>
          <w:color w:val="auto"/>
          <w:szCs w:val="21"/>
          <w:highlight w:val="none"/>
        </w:rPr>
      </w:pPr>
      <w:bookmarkStart w:id="19" w:name="_Toc28359085"/>
      <w:bookmarkStart w:id="20" w:name="_Toc35393627"/>
      <w:bookmarkStart w:id="21" w:name="_Toc28359008"/>
      <w:bookmarkStart w:id="22" w:name="_Toc35393796"/>
      <w:r>
        <w:rPr>
          <w:rFonts w:hint="eastAsia" w:ascii="宋体" w:hAnsi="宋体" w:cs="宋体"/>
          <w:b/>
          <w:bCs/>
          <w:color w:val="auto"/>
          <w:szCs w:val="21"/>
          <w:highlight w:val="none"/>
        </w:rPr>
        <w:t>三、获取招标文件</w:t>
      </w:r>
    </w:p>
    <w:p w14:paraId="2234E716">
      <w:pPr>
        <w:shd w:val="clear"/>
        <w:spacing w:line="360" w:lineRule="auto"/>
        <w:ind w:firstLine="54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时间：2026年</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14</w:t>
      </w:r>
      <w:r>
        <w:rPr>
          <w:rFonts w:hint="eastAsia" w:ascii="宋体" w:hAnsi="宋体" w:cs="宋体"/>
          <w:bCs/>
          <w:color w:val="auto"/>
          <w:kern w:val="0"/>
          <w:szCs w:val="21"/>
          <w:highlight w:val="none"/>
        </w:rPr>
        <w:t>日至2026年</w:t>
      </w:r>
      <w:r>
        <w:rPr>
          <w:rFonts w:hint="eastAsia" w:ascii="宋体" w:hAnsi="宋体" w:cs="宋体"/>
          <w:bCs/>
          <w:color w:val="auto"/>
          <w:kern w:val="0"/>
          <w:szCs w:val="21"/>
          <w:highlight w:val="none"/>
          <w:lang w:val="en-US" w:eastAsia="zh-CN"/>
        </w:rPr>
        <w:t>7月21日</w:t>
      </w:r>
      <w:r>
        <w:rPr>
          <w:rFonts w:hint="eastAsia" w:ascii="宋体" w:hAnsi="宋体" w:cs="宋体"/>
          <w:bCs/>
          <w:color w:val="auto"/>
          <w:kern w:val="0"/>
          <w:szCs w:val="21"/>
          <w:highlight w:val="none"/>
        </w:rPr>
        <w:t>，每天上午00:00至12:00，下午12:00至23:59（北京时间，法定节假日除外）</w:t>
      </w:r>
    </w:p>
    <w:p w14:paraId="15534B63">
      <w:pPr>
        <w:shd w:val="clear"/>
        <w:spacing w:line="360" w:lineRule="auto"/>
        <w:ind w:firstLine="540"/>
        <w:rPr>
          <w:rFonts w:hint="eastAsia" w:ascii="宋体" w:hAnsi="宋体" w:cs="宋体"/>
          <w:color w:val="auto"/>
          <w:szCs w:val="21"/>
          <w:highlight w:val="none"/>
        </w:rPr>
      </w:pPr>
      <w:r>
        <w:rPr>
          <w:rFonts w:hint="eastAsia" w:ascii="宋体" w:hAnsi="宋体" w:cs="宋体"/>
          <w:bCs/>
          <w:color w:val="auto"/>
          <w:kern w:val="0"/>
          <w:szCs w:val="21"/>
          <w:highlight w:val="none"/>
        </w:rPr>
        <w:t>地点：</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w:t>
      </w:r>
    </w:p>
    <w:p w14:paraId="645FED63">
      <w:pPr>
        <w:shd w:val="clear"/>
        <w:spacing w:line="360" w:lineRule="auto"/>
        <w:ind w:firstLine="54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方式：网上下载。本项目不提供纸质文件，潜在供应商需在</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w:t>
      </w:r>
      <w:r>
        <w:rPr>
          <w:rFonts w:hint="eastAsia" w:ascii="宋体" w:hAnsi="宋体" w:cs="宋体"/>
          <w:bCs/>
          <w:color w:val="auto"/>
          <w:kern w:val="0"/>
          <w:szCs w:val="21"/>
          <w:highlight w:val="none"/>
        </w:rPr>
        <w:t>-进入“项目采购”应用，在获取采购文件菜单中选择项目，获取招标文件。</w:t>
      </w:r>
      <w:r>
        <w:rPr>
          <w:rFonts w:hint="eastAsia" w:ascii="宋体" w:hAnsi="宋体" w:cs="宋体"/>
          <w:color w:val="auto"/>
          <w:szCs w:val="21"/>
          <w:highlight w:val="none"/>
        </w:rPr>
        <w:t>电子投标文件制作需要基于广西政府采购云平台获取的招标文件编制，</w:t>
      </w:r>
      <w:r>
        <w:rPr>
          <w:rFonts w:hint="eastAsia" w:ascii="宋体" w:hAnsi="宋体" w:cs="宋体"/>
          <w:bCs/>
          <w:color w:val="auto"/>
          <w:kern w:val="0"/>
          <w:szCs w:val="21"/>
          <w:highlight w:val="none"/>
        </w:rPr>
        <w:t>通过其他方式获取招标文件的，将有可能导致供应商无法在</w:t>
      </w:r>
      <w:r>
        <w:rPr>
          <w:rFonts w:hint="eastAsia" w:ascii="宋体" w:hAnsi="宋体" w:cs="宋体"/>
          <w:color w:val="auto"/>
          <w:szCs w:val="21"/>
          <w:highlight w:val="none"/>
        </w:rPr>
        <w:t>广西政府采购云平台</w:t>
      </w:r>
      <w:r>
        <w:rPr>
          <w:rFonts w:hint="eastAsia" w:ascii="宋体" w:hAnsi="宋体" w:cs="宋体"/>
          <w:bCs/>
          <w:color w:val="auto"/>
          <w:kern w:val="0"/>
          <w:szCs w:val="21"/>
          <w:highlight w:val="none"/>
        </w:rPr>
        <w:t>编制及上传投标文件。</w:t>
      </w:r>
    </w:p>
    <w:p w14:paraId="77C4BF5B">
      <w:pPr>
        <w:shd w:val="clear"/>
        <w:spacing w:line="360" w:lineRule="auto"/>
        <w:ind w:firstLine="540"/>
        <w:rPr>
          <w:rFonts w:hint="eastAsia" w:ascii="宋体" w:hAnsi="宋体" w:cs="宋体"/>
          <w:color w:val="auto"/>
          <w:szCs w:val="21"/>
          <w:highlight w:val="none"/>
        </w:rPr>
      </w:pPr>
      <w:r>
        <w:rPr>
          <w:rFonts w:hint="eastAsia" w:ascii="宋体" w:hAnsi="宋体" w:cs="宋体"/>
          <w:bCs/>
          <w:color w:val="auto"/>
          <w:kern w:val="0"/>
          <w:szCs w:val="21"/>
          <w:highlight w:val="none"/>
        </w:rPr>
        <w:t>售价：</w:t>
      </w:r>
      <w:r>
        <w:rPr>
          <w:rFonts w:hint="eastAsia" w:ascii="宋体" w:hAnsi="宋体" w:cs="宋体"/>
          <w:color w:val="auto"/>
          <w:szCs w:val="21"/>
          <w:highlight w:val="none"/>
          <w:u w:val="single"/>
        </w:rPr>
        <w:t>0</w:t>
      </w:r>
      <w:r>
        <w:rPr>
          <w:rFonts w:hint="eastAsia" w:ascii="宋体" w:hAnsi="宋体" w:cs="宋体"/>
          <w:color w:val="auto"/>
          <w:szCs w:val="21"/>
          <w:highlight w:val="none"/>
        </w:rPr>
        <w:t>元</w:t>
      </w:r>
    </w:p>
    <w:p w14:paraId="34FA8F01">
      <w:pPr>
        <w:shd w:val="clear"/>
        <w:spacing w:line="360" w:lineRule="auto"/>
        <w:rPr>
          <w:rFonts w:hint="eastAsia" w:ascii="宋体" w:hAnsi="宋体" w:cs="宋体"/>
          <w:b/>
          <w:bCs/>
          <w:color w:val="auto"/>
          <w:szCs w:val="21"/>
          <w:highlight w:val="none"/>
        </w:rPr>
      </w:pPr>
      <w:bookmarkStart w:id="23" w:name="_Toc28359082"/>
      <w:bookmarkStart w:id="24" w:name="_Toc28359005"/>
      <w:bookmarkStart w:id="25" w:name="_Toc35393624"/>
      <w:bookmarkStart w:id="26" w:name="_Toc35393793"/>
      <w:r>
        <w:rPr>
          <w:rFonts w:hint="eastAsia" w:ascii="宋体" w:hAnsi="宋体" w:cs="宋体"/>
          <w:b/>
          <w:bCs/>
          <w:color w:val="auto"/>
          <w:szCs w:val="21"/>
          <w:highlight w:val="none"/>
        </w:rPr>
        <w:t>四、提交投标文件</w:t>
      </w:r>
      <w:bookmarkEnd w:id="23"/>
      <w:bookmarkEnd w:id="24"/>
      <w:r>
        <w:rPr>
          <w:rFonts w:hint="eastAsia" w:ascii="宋体" w:hAnsi="宋体" w:cs="宋体"/>
          <w:b/>
          <w:bCs/>
          <w:color w:val="auto"/>
          <w:szCs w:val="21"/>
          <w:highlight w:val="none"/>
        </w:rPr>
        <w:t>截止时间、开标时间和地点</w:t>
      </w:r>
      <w:bookmarkEnd w:id="25"/>
      <w:bookmarkEnd w:id="26"/>
    </w:p>
    <w:p w14:paraId="74968CAA">
      <w:pPr>
        <w:shd w:val="clear"/>
        <w:spacing w:line="360" w:lineRule="auto"/>
        <w:ind w:firstLine="420" w:firstLineChars="200"/>
        <w:rPr>
          <w:rFonts w:hint="eastAsia" w:ascii="宋体" w:hAnsi="宋体" w:cs="宋体"/>
          <w:color w:val="auto"/>
          <w:szCs w:val="21"/>
          <w:highlight w:val="none"/>
          <w:u w:val="single"/>
        </w:rPr>
      </w:pPr>
      <w:bookmarkStart w:id="27" w:name="_Toc28359084"/>
      <w:bookmarkStart w:id="28" w:name="_Toc28359007"/>
      <w:bookmarkStart w:id="29" w:name="_Toc35393625"/>
      <w:bookmarkStart w:id="30" w:name="_Toc35393794"/>
      <w:r>
        <w:rPr>
          <w:rFonts w:hint="eastAsia" w:ascii="宋体" w:hAnsi="宋体" w:cs="宋体"/>
          <w:bCs/>
          <w:color w:val="auto"/>
          <w:szCs w:val="21"/>
          <w:highlight w:val="none"/>
        </w:rPr>
        <w:t>时间：</w:t>
      </w:r>
      <w:r>
        <w:rPr>
          <w:rFonts w:hint="eastAsia" w:ascii="宋体" w:hAnsi="宋体" w:cs="宋体"/>
          <w:color w:val="auto"/>
          <w:szCs w:val="21"/>
          <w:highlight w:val="none"/>
        </w:rPr>
        <w:t>2026</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日9时30分（北京时间）</w:t>
      </w:r>
    </w:p>
    <w:p w14:paraId="5C642EAC">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地点：广西政府采购云平台（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w:t>
      </w:r>
    </w:p>
    <w:p w14:paraId="703E64B8">
      <w:pPr>
        <w:shd w:val="clea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五、公告期限</w:t>
      </w:r>
      <w:bookmarkEnd w:id="27"/>
      <w:bookmarkEnd w:id="28"/>
      <w:bookmarkEnd w:id="29"/>
      <w:bookmarkEnd w:id="30"/>
    </w:p>
    <w:p w14:paraId="3808FB56">
      <w:pPr>
        <w:shd w:val="clea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65E98A48">
      <w:pPr>
        <w:shd w:val="clear"/>
        <w:spacing w:line="360" w:lineRule="auto"/>
        <w:rPr>
          <w:rFonts w:hint="eastAsia" w:ascii="宋体" w:hAnsi="宋体" w:cs="宋体"/>
          <w:b/>
          <w:bCs/>
          <w:color w:val="auto"/>
          <w:szCs w:val="21"/>
          <w:highlight w:val="none"/>
        </w:rPr>
      </w:pPr>
      <w:bookmarkStart w:id="31" w:name="_Toc35393795"/>
      <w:bookmarkStart w:id="32" w:name="_Toc35393626"/>
      <w:r>
        <w:rPr>
          <w:rFonts w:hint="eastAsia" w:ascii="宋体" w:hAnsi="宋体" w:cs="宋体"/>
          <w:b/>
          <w:bCs/>
          <w:color w:val="auto"/>
          <w:szCs w:val="21"/>
          <w:highlight w:val="none"/>
        </w:rPr>
        <w:t>六、其他补充事宜</w:t>
      </w:r>
      <w:bookmarkEnd w:id="31"/>
      <w:bookmarkEnd w:id="32"/>
    </w:p>
    <w:p w14:paraId="39C1859A">
      <w:pPr>
        <w:shd w:val="clear"/>
        <w:spacing w:line="360" w:lineRule="auto"/>
        <w:ind w:firstLine="420" w:firstLineChars="200"/>
        <w:rPr>
          <w:rFonts w:hint="eastAsia" w:ascii="宋体" w:hAnsi="宋体" w:cs="宋体"/>
          <w:color w:val="auto"/>
          <w:kern w:val="0"/>
          <w:szCs w:val="21"/>
          <w:highlight w:val="none"/>
        </w:rPr>
      </w:pPr>
      <w:bookmarkStart w:id="33" w:name="_Hlk37429585"/>
      <w:bookmarkStart w:id="34" w:name="_Hlk37429595"/>
      <w:r>
        <w:rPr>
          <w:rFonts w:hint="eastAsia" w:ascii="宋体" w:hAnsi="宋体" w:cs="宋体"/>
          <w:color w:val="auto"/>
          <w:kern w:val="0"/>
          <w:szCs w:val="21"/>
          <w:highlight w:val="none"/>
        </w:rPr>
        <w:t>1.网上查询地址</w:t>
      </w:r>
    </w:p>
    <w:bookmarkEnd w:id="33"/>
    <w:p w14:paraId="3B914676">
      <w:pPr>
        <w:shd w:val="clear"/>
        <w:spacing w:line="360" w:lineRule="auto"/>
        <w:ind w:firstLine="424" w:firstLineChars="202"/>
        <w:rPr>
          <w:rFonts w:hint="eastAsia" w:ascii="宋体" w:hAnsi="宋体" w:eastAsia="宋体" w:cs="宋体"/>
          <w:i/>
          <w:color w:val="auto"/>
          <w:kern w:val="0"/>
          <w:szCs w:val="21"/>
          <w:highlight w:val="none"/>
          <w:lang w:eastAsia="zh-CN"/>
        </w:rPr>
      </w:pPr>
      <w:r>
        <w:rPr>
          <w:rFonts w:hint="eastAsia" w:ascii="宋体" w:hAnsi="宋体" w:cs="宋体"/>
          <w:color w:val="auto"/>
          <w:kern w:val="0"/>
          <w:szCs w:val="21"/>
          <w:highlight w:val="none"/>
        </w:rPr>
        <w:t>http://www.ccgp.gov.cn（中国政府采购网）、http://zfcg.gxzf.gov.cn（广西壮族自治区政府采购网）、http://gxggzy.gxzf.gov.cn/（广西壮族自治区公共资源交易中心）</w:t>
      </w:r>
      <w:r>
        <w:rPr>
          <w:rFonts w:hint="eastAsia" w:ascii="宋体" w:hAnsi="宋体" w:cs="宋体"/>
          <w:color w:val="auto"/>
          <w:kern w:val="0"/>
          <w:szCs w:val="21"/>
          <w:highlight w:val="none"/>
          <w:lang w:eastAsia="zh-CN"/>
        </w:rPr>
        <w:t>、</w:t>
      </w:r>
      <w:r>
        <w:rPr>
          <w:rFonts w:hint="eastAsia" w:ascii="宋体" w:hAnsi="宋体"/>
          <w:color w:val="auto"/>
        </w:rPr>
        <w:t>广西医科大学官网（https：//www.gxmu.edu.cn/）、广西医科大学附属武鸣医院官网（http：//www.gxmuwmfy.com/）</w:t>
      </w:r>
    </w:p>
    <w:bookmarkEnd w:id="34"/>
    <w:p w14:paraId="20C74F17">
      <w:pPr>
        <w:shd w:val="clear"/>
        <w:spacing w:line="360" w:lineRule="auto"/>
        <w:ind w:firstLine="424" w:firstLineChars="202"/>
        <w:rPr>
          <w:rFonts w:hint="eastAsia" w:ascii="宋体" w:hAnsi="宋体" w:cs="宋体"/>
          <w:color w:val="auto"/>
          <w:kern w:val="0"/>
          <w:szCs w:val="21"/>
          <w:highlight w:val="none"/>
        </w:rPr>
      </w:pPr>
      <w:bookmarkStart w:id="35" w:name="_Hlk37429674"/>
      <w:r>
        <w:rPr>
          <w:rFonts w:hint="eastAsia" w:ascii="宋体" w:hAnsi="宋体" w:cs="宋体"/>
          <w:color w:val="auto"/>
          <w:szCs w:val="21"/>
          <w:highlight w:val="none"/>
        </w:rPr>
        <w:t>2.</w:t>
      </w:r>
      <w:r>
        <w:rPr>
          <w:rFonts w:hint="eastAsia" w:ascii="宋体" w:hAnsi="宋体" w:cs="宋体"/>
          <w:color w:val="auto"/>
          <w:kern w:val="0"/>
          <w:szCs w:val="21"/>
          <w:highlight w:val="none"/>
        </w:rPr>
        <w:t>本项目需要落实的政府采购政策</w:t>
      </w:r>
    </w:p>
    <w:p w14:paraId="4C30EE5A">
      <w:pPr>
        <w:shd w:val="clea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580B656A">
      <w:pPr>
        <w:shd w:val="clea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（2）政府采购促进残疾人就业政策。</w:t>
      </w:r>
    </w:p>
    <w:p w14:paraId="5653D0B1">
      <w:pPr>
        <w:shd w:val="clea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（3）政府采购支持监狱企业发展。</w:t>
      </w:r>
    </w:p>
    <w:bookmarkEnd w:id="35"/>
    <w:p w14:paraId="22D6735F">
      <w:pPr>
        <w:widowControl/>
        <w:shd w:val="clear"/>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9EDF999">
      <w:pPr>
        <w:widowControl/>
        <w:shd w:val="clear"/>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79C6000D">
      <w:pPr>
        <w:widowControl/>
        <w:shd w:val="clea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5.投标人</w:t>
      </w:r>
      <w:r>
        <w:rPr>
          <w:rFonts w:hint="eastAsia" w:ascii="宋体" w:hAnsi="宋体" w:cs="宋体"/>
          <w:color w:val="auto"/>
          <w:szCs w:val="21"/>
          <w:highlight w:val="none"/>
        </w:rPr>
        <w:t>投标注意事项</w:t>
      </w:r>
    </w:p>
    <w:p w14:paraId="702BCF79">
      <w:pPr>
        <w:widowControl/>
        <w:shd w:val="clear"/>
        <w:wordWrap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）实行在线电子投标，投标人应按照本项目招标文件和广西政府采购云平台的要求编制、加密后在投标截止时间前通过网络上传至广西政府采购云平台，</w:t>
      </w:r>
      <w:r>
        <w:rPr>
          <w:rFonts w:hint="eastAsia" w:ascii="宋体" w:hAnsi="宋体" w:cs="宋体"/>
          <w:bCs/>
          <w:color w:val="auto"/>
          <w:szCs w:val="21"/>
          <w:highlight w:val="none"/>
        </w:rPr>
        <w:t>投标人在广西政府采购云平台提交电子投标文件时，请填写参加远程开标活动经办人联系方式。投标人</w:t>
      </w:r>
      <w:r>
        <w:rPr>
          <w:rFonts w:hint="eastAsia" w:ascii="宋体" w:hAnsi="宋体" w:cs="宋体"/>
          <w:color w:val="auto"/>
          <w:szCs w:val="21"/>
          <w:highlight w:val="none"/>
        </w:rPr>
        <w:t>登录广西政府采购云平台，依次进入“服务中心-项目采购-操作流程-电子招投标-政府采购项目电子交易管理操作指南-供应商”查看电子投标具体操作流程。</w:t>
      </w:r>
    </w:p>
    <w:p w14:paraId="64DFCAB3">
      <w:pPr>
        <w:widowControl/>
        <w:shd w:val="clea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color w:val="auto"/>
          <w:kern w:val="0"/>
          <w:szCs w:val="21"/>
          <w:highlight w:val="none"/>
        </w:rPr>
        <w:t>，</w:t>
      </w:r>
      <w:r>
        <w:rPr>
          <w:rFonts w:hint="eastAsia" w:ascii="宋体" w:hAnsi="宋体" w:cs="宋体"/>
          <w:color w:val="auto"/>
          <w:szCs w:val="21"/>
          <w:highlight w:val="none"/>
        </w:rPr>
        <w:t>依次进入“服务中心-入驻与配置”中查看CA数字证书办理操作流程。</w:t>
      </w:r>
      <w:r>
        <w:rPr>
          <w:rFonts w:hint="eastAsia" w:ascii="宋体" w:hAnsi="宋体" w:cs="宋体"/>
          <w:bCs/>
          <w:color w:val="auto"/>
          <w:kern w:val="0"/>
          <w:szCs w:val="21"/>
          <w:highlight w:val="none"/>
        </w:rPr>
        <w:t>如在操作过程中遇到问题或者需要技术支持，请致电客服热线：95763</w:t>
      </w:r>
      <w:r>
        <w:rPr>
          <w:rFonts w:hint="eastAsia" w:ascii="宋体" w:hAnsi="宋体" w:cs="宋体"/>
          <w:color w:val="auto"/>
          <w:szCs w:val="21"/>
          <w:highlight w:val="none"/>
        </w:rPr>
        <w:t>）。</w:t>
      </w:r>
    </w:p>
    <w:p w14:paraId="096F471A">
      <w:pPr>
        <w:shd w:val="clea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（3）CA证书在线解密：投标人投标时，需凭制作投标文件时用来加密的有效数字证书（CA认证）登录</w:t>
      </w:r>
      <w:r>
        <w:rPr>
          <w:rFonts w:hint="eastAsia" w:ascii="宋体" w:hAnsi="宋体" w:cs="宋体"/>
          <w:color w:val="auto"/>
          <w:szCs w:val="21"/>
          <w:highlight w:val="none"/>
        </w:rPr>
        <w:t>广西政府采购云平台</w:t>
      </w:r>
      <w:r>
        <w:rPr>
          <w:rFonts w:hint="eastAsia" w:ascii="宋体" w:hAnsi="宋体" w:cs="宋体"/>
          <w:color w:val="auto"/>
          <w:kern w:val="0"/>
          <w:szCs w:val="21"/>
          <w:highlight w:val="none"/>
        </w:rPr>
        <w:t>电子开标大厅现场按规定时间对加密的投标文件进行解密，否则后果自负。</w:t>
      </w:r>
    </w:p>
    <w:p w14:paraId="71FBBD73">
      <w:pPr>
        <w:shd w:val="clear"/>
        <w:spacing w:line="360" w:lineRule="auto"/>
        <w:ind w:firstLine="424" w:firstLineChars="202"/>
        <w:rPr>
          <w:rFonts w:hint="eastAsia" w:ascii="宋体" w:hAnsi="宋体" w:cs="宋体"/>
          <w:bCs/>
          <w:color w:val="auto"/>
          <w:szCs w:val="21"/>
          <w:highlight w:val="none"/>
        </w:rPr>
      </w:pPr>
      <w:r>
        <w:rPr>
          <w:rFonts w:hint="eastAsia" w:ascii="宋体" w:hAnsi="宋体" w:cs="宋体"/>
          <w:color w:val="auto"/>
          <w:szCs w:val="21"/>
          <w:highlight w:val="non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r>
        <w:rPr>
          <w:rFonts w:hint="eastAsia" w:ascii="宋体" w:hAnsi="宋体" w:cs="宋体"/>
          <w:bCs/>
          <w:color w:val="auto"/>
          <w:szCs w:val="21"/>
          <w:highlight w:val="none"/>
        </w:rPr>
        <w:t>。</w:t>
      </w:r>
    </w:p>
    <w:p w14:paraId="2CCF64D1">
      <w:pPr>
        <w:shd w:val="clea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七、对本次招标提出询问，请按以下方式联系。</w:t>
      </w:r>
      <w:bookmarkEnd w:id="19"/>
      <w:bookmarkEnd w:id="20"/>
      <w:bookmarkEnd w:id="21"/>
      <w:bookmarkEnd w:id="22"/>
    </w:p>
    <w:p w14:paraId="24810528">
      <w:pPr>
        <w:shd w:val="clear"/>
        <w:spacing w:line="360" w:lineRule="auto"/>
        <w:ind w:firstLine="420" w:firstLineChars="200"/>
        <w:rPr>
          <w:rFonts w:hint="eastAsia" w:ascii="宋体" w:hAnsi="宋体" w:cs="宋体"/>
          <w:color w:val="auto"/>
          <w:szCs w:val="21"/>
          <w:highlight w:val="none"/>
        </w:rPr>
      </w:pPr>
      <w:bookmarkStart w:id="36" w:name="_Toc35393637"/>
      <w:bookmarkStart w:id="37" w:name="_Toc35393806"/>
      <w:bookmarkStart w:id="38" w:name="_Toc28359096"/>
      <w:bookmarkStart w:id="39" w:name="_Toc28359019"/>
      <w:r>
        <w:rPr>
          <w:rFonts w:hint="eastAsia" w:ascii="宋体" w:hAnsi="宋体" w:cs="宋体"/>
          <w:color w:val="auto"/>
          <w:szCs w:val="21"/>
          <w:highlight w:val="none"/>
        </w:rPr>
        <w:t>1、招标人信息</w:t>
      </w:r>
      <w:bookmarkEnd w:id="36"/>
      <w:bookmarkEnd w:id="37"/>
      <w:bookmarkEnd w:id="38"/>
      <w:bookmarkEnd w:id="39"/>
    </w:p>
    <w:p w14:paraId="4D5E2A81">
      <w:pPr>
        <w:shd w:val="clea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广西医科大学附属武鸣医院</w:t>
      </w:r>
    </w:p>
    <w:p w14:paraId="363B3702">
      <w:pPr>
        <w:shd w:val="clea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地    址：广西南宁市武鸣区城厢镇永宁路26号</w:t>
      </w:r>
    </w:p>
    <w:p w14:paraId="4B40E575">
      <w:pPr>
        <w:shd w:val="clea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联系方式：冼</w:t>
      </w:r>
      <w:r>
        <w:rPr>
          <w:rFonts w:hint="eastAsia" w:ascii="宋体" w:hAnsi="宋体" w:cs="宋体"/>
          <w:color w:val="auto"/>
          <w:szCs w:val="21"/>
          <w:highlight w:val="none"/>
          <w:lang w:val="en-US" w:eastAsia="zh-CN"/>
        </w:rPr>
        <w:t>老师</w:t>
      </w:r>
      <w:r>
        <w:rPr>
          <w:rFonts w:hint="eastAsia" w:ascii="宋体" w:hAnsi="宋体" w:cs="宋体"/>
          <w:color w:val="auto"/>
          <w:szCs w:val="21"/>
          <w:highlight w:val="none"/>
          <w:lang w:eastAsia="zh-CN"/>
        </w:rPr>
        <w:t xml:space="preserve">  0771-6222411</w:t>
      </w:r>
    </w:p>
    <w:p w14:paraId="2C35A25E">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2、代理机构：华采招标集团有限公司</w:t>
      </w:r>
    </w:p>
    <w:p w14:paraId="7A93576A">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地址：南宁市良庆区平乐大道21号广西路桥集团总部大厦主楼十七层1708号办公室</w:t>
      </w:r>
    </w:p>
    <w:p w14:paraId="3E02D55F">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项目负责人：李奕海          </w:t>
      </w:r>
    </w:p>
    <w:p w14:paraId="09309ECD">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联系电话：0771-4308717</w:t>
      </w:r>
    </w:p>
    <w:p w14:paraId="22F58B05">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3、项目联系方式</w:t>
      </w:r>
    </w:p>
    <w:p w14:paraId="5E5AB0A1">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项目联系人：李奕海</w:t>
      </w:r>
    </w:p>
    <w:p w14:paraId="1B2F78C7">
      <w:pPr>
        <w:shd w:val="clea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联系电话：0771-4308717</w:t>
      </w:r>
    </w:p>
    <w:p w14:paraId="18261EF5">
      <w:pPr>
        <w:shd w:val="clear"/>
        <w:spacing w:line="360" w:lineRule="auto"/>
        <w:ind w:firstLine="210" w:firstLineChars="100"/>
        <w:jc w:val="right"/>
        <w:rPr>
          <w:rFonts w:hint="eastAsia" w:ascii="宋体" w:hAnsi="宋体" w:cs="宋体"/>
          <w:color w:val="auto"/>
          <w:szCs w:val="21"/>
          <w:highlight w:val="none"/>
        </w:rPr>
      </w:pPr>
      <w:r>
        <w:rPr>
          <w:rFonts w:hint="eastAsia" w:ascii="宋体" w:hAnsi="宋体" w:cs="宋体"/>
          <w:color w:val="auto"/>
          <w:szCs w:val="21"/>
          <w:highlight w:val="none"/>
        </w:rPr>
        <w:t>华采招标集团有限公司</w:t>
      </w:r>
    </w:p>
    <w:p w14:paraId="1D149FE3">
      <w:pPr>
        <w:widowControl/>
        <w:shd w:val="clear"/>
        <w:spacing w:line="360" w:lineRule="auto"/>
        <w:jc w:val="right"/>
        <w:rPr>
          <w:rFonts w:hint="eastAsia" w:ascii="仿宋_GB2312" w:hAnsi="宋体" w:eastAsia="仿宋_GB2312"/>
          <w:color w:val="auto"/>
          <w:sz w:val="24"/>
          <w:szCs w:val="20"/>
          <w:highlight w:val="none"/>
        </w:rPr>
      </w:pPr>
      <w:r>
        <w:rPr>
          <w:rFonts w:hint="eastAsia" w:ascii="宋体" w:hAnsi="宋体" w:cs="宋体"/>
          <w:color w:val="auto"/>
          <w:szCs w:val="21"/>
          <w:highlight w:val="none"/>
        </w:rPr>
        <w:t>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日</w:t>
      </w:r>
    </w:p>
    <w:p w14:paraId="538D6932">
      <w:pPr>
        <w:pStyle w:val="3"/>
        <w:shd w:val="clear"/>
        <w:spacing w:before="0" w:after="0" w:line="360" w:lineRule="auto"/>
        <w:jc w:val="center"/>
        <w:rPr>
          <w:color w:val="auto"/>
          <w:highlight w:val="none"/>
        </w:rPr>
      </w:pPr>
      <w:bookmarkStart w:id="40" w:name="_Toc74320801"/>
      <w:r>
        <w:rPr>
          <w:rFonts w:hint="eastAsia"/>
          <w:color w:val="auto"/>
          <w:highlight w:val="none"/>
        </w:rPr>
        <w:br w:type="page"/>
      </w:r>
      <w:bookmarkStart w:id="41" w:name="_Toc3010"/>
      <w:r>
        <w:rPr>
          <w:rFonts w:hint="eastAsia"/>
          <w:color w:val="auto"/>
          <w:highlight w:val="none"/>
        </w:rPr>
        <w:t>第二章  采购需求</w:t>
      </w:r>
      <w:bookmarkEnd w:id="40"/>
      <w:bookmarkEnd w:id="41"/>
    </w:p>
    <w:p w14:paraId="29378D80">
      <w:pPr>
        <w:shd w:val="clear"/>
        <w:spacing w:line="360" w:lineRule="auto"/>
        <w:jc w:val="left"/>
        <w:rPr>
          <w:rFonts w:hint="eastAsia" w:ascii="宋体" w:hAnsi="宋体" w:cs="宋体"/>
          <w:color w:val="auto"/>
          <w:szCs w:val="21"/>
          <w:highlight w:val="none"/>
        </w:rPr>
      </w:pPr>
      <w:bookmarkStart w:id="42" w:name="_Toc254970490"/>
      <w:bookmarkStart w:id="43" w:name="_Toc254970631"/>
      <w:r>
        <w:rPr>
          <w:rFonts w:hint="eastAsia" w:ascii="宋体" w:hAnsi="宋体" w:cs="宋体"/>
          <w:color w:val="auto"/>
          <w:szCs w:val="21"/>
          <w:highlight w:val="none"/>
        </w:rPr>
        <w:t>说明：</w:t>
      </w:r>
    </w:p>
    <w:p w14:paraId="2EDFCCC4">
      <w:pPr>
        <w:shd w:val="clear"/>
        <w:spacing w:line="360" w:lineRule="auto"/>
        <w:ind w:firstLine="424" w:firstLineChars="202"/>
        <w:jc w:val="left"/>
        <w:rPr>
          <w:color w:val="auto"/>
          <w:highlight w:val="none"/>
        </w:rPr>
      </w:pPr>
      <w:r>
        <w:rPr>
          <w:rFonts w:hint="eastAsia"/>
          <w:color w:val="auto"/>
          <w:highlight w:val="none"/>
        </w:rPr>
        <w:t>1. 为落实政府采购政策需满足的要求</w:t>
      </w:r>
    </w:p>
    <w:p w14:paraId="34F7130C">
      <w:pPr>
        <w:shd w:val="clear"/>
        <w:spacing w:line="360" w:lineRule="auto"/>
        <w:ind w:firstLine="424" w:firstLineChars="202"/>
        <w:jc w:val="left"/>
        <w:rPr>
          <w:color w:val="auto"/>
          <w:highlight w:val="none"/>
        </w:rPr>
      </w:pPr>
      <w:r>
        <w:rPr>
          <w:rFonts w:hint="eastAsia"/>
          <w:color w:val="auto"/>
          <w:highlight w:val="none"/>
        </w:rPr>
        <w:t>（1）本</w:t>
      </w:r>
      <w:r>
        <w:rPr>
          <w:rFonts w:hint="eastAsia"/>
          <w:color w:val="auto"/>
          <w:highlight w:val="none"/>
          <w:lang w:val="en-US" w:eastAsia="zh-CN"/>
        </w:rPr>
        <w:t>项目</w:t>
      </w:r>
      <w:r>
        <w:rPr>
          <w:rFonts w:hint="eastAsia"/>
          <w:color w:val="auto"/>
          <w:highlight w:val="none"/>
        </w:rPr>
        <w:t>所称中小企业必须符合《政府采购促进中小企业发展管理办法》（财库〔2020〕46号）的规定。</w:t>
      </w:r>
    </w:p>
    <w:p w14:paraId="54579CEE">
      <w:pPr>
        <w:shd w:val="clear"/>
        <w:spacing w:line="360" w:lineRule="auto"/>
        <w:ind w:firstLine="424" w:firstLineChars="202"/>
        <w:jc w:val="left"/>
        <w:rPr>
          <w:color w:val="auto"/>
          <w:highlight w:val="none"/>
        </w:rPr>
      </w:pPr>
      <w:r>
        <w:rPr>
          <w:rFonts w:hint="eastAsia"/>
          <w:color w:val="auto"/>
          <w:highlight w:val="none"/>
        </w:rPr>
        <w:t>（2）</w:t>
      </w:r>
      <w:r>
        <w:rPr>
          <w:rFonts w:hint="eastAsia" w:ascii="Times New Roman" w:hAnsi="Times New Roman" w:eastAsia="宋体" w:cs="Times New Roman"/>
          <w:color w:val="auto"/>
          <w:kern w:val="2"/>
          <w:sz w:val="21"/>
          <w:szCs w:val="24"/>
          <w:highlight w:val="none"/>
          <w:lang w:val="en-US" w:eastAsia="zh-CN" w:bidi="ar-SA"/>
        </w:rPr>
        <w:t>服务项目中伴随货物的，</w:t>
      </w:r>
      <w:r>
        <w:rPr>
          <w:rFonts w:hint="eastAsia"/>
          <w:color w:val="auto"/>
          <w:highlight w:val="none"/>
        </w:rPr>
        <w:t>根据《财政部 发展改革委 生态环境部 市场监管总局关于调整优化节能产品、环境标志产品政府采购执行机制的通知》（财库〔2019〕9号）和《关于印发节能产品政府采购品目清单的通知》（财库〔2019〕19号）的规定，如采购需求中的产品属于节能产品政府采购品目清单内标注“★”的，供应商必须在投标文件中提供所投产品的节能产品认证证书复印件（加盖供应商公章），否则投标文件作无效处理。如本项目包含的配套货物属于品目清单内非标注“★”的产品时，应优先采购，具体详见“第四章 评审程序和评定成交的标准”。</w:t>
      </w:r>
    </w:p>
    <w:p w14:paraId="2F27B741">
      <w:pPr>
        <w:shd w:val="clear"/>
        <w:spacing w:line="360" w:lineRule="auto"/>
        <w:ind w:firstLine="424" w:firstLineChars="202"/>
        <w:jc w:val="left"/>
        <w:rPr>
          <w:color w:val="auto"/>
          <w:highlight w:val="none"/>
        </w:rPr>
      </w:pPr>
      <w:r>
        <w:rPr>
          <w:rFonts w:hint="eastAsia"/>
          <w:color w:val="auto"/>
          <w:highlight w:val="none"/>
        </w:rPr>
        <w:t>2.“实质性要求”是指招标文件中已经指明不满足则投标无效的条款，或者不能负偏离的条款，或者采购需求中带“▲”的条款。</w:t>
      </w:r>
    </w:p>
    <w:p w14:paraId="358E1B5A">
      <w:pPr>
        <w:shd w:val="clear"/>
        <w:snapToGrid w:val="0"/>
        <w:spacing w:line="360" w:lineRule="auto"/>
        <w:ind w:firstLine="424" w:firstLineChars="202"/>
        <w:jc w:val="left"/>
        <w:rPr>
          <w:color w:val="auto"/>
          <w:highlight w:val="none"/>
          <w:lang w:val="en-GB"/>
        </w:rPr>
      </w:pPr>
      <w:r>
        <w:rPr>
          <w:rFonts w:hint="eastAsia"/>
          <w:color w:val="auto"/>
          <w:highlight w:val="none"/>
          <w:lang w:val="en-GB"/>
        </w:rPr>
        <w:t>3.投标人应根据自身实际情况如实响应招标文件，对招标文件提出的要求和条件作出明确响应，否则将作无效响应处理。</w:t>
      </w:r>
      <w:bookmarkStart w:id="44" w:name="_Hlk65055179"/>
    </w:p>
    <w:p w14:paraId="2F970DC0">
      <w:pPr>
        <w:shd w:val="clear"/>
        <w:snapToGrid w:val="0"/>
        <w:spacing w:line="360" w:lineRule="auto"/>
        <w:ind w:firstLine="424" w:firstLineChars="202"/>
        <w:jc w:val="left"/>
        <w:rPr>
          <w:color w:val="auto"/>
          <w:highlight w:val="none"/>
          <w:lang w:val="en-GB"/>
        </w:rPr>
      </w:pPr>
      <w:r>
        <w:rPr>
          <w:rFonts w:hint="eastAsia"/>
          <w:color w:val="auto"/>
          <w:highlight w:val="none"/>
          <w:lang w:val="en-US" w:eastAsia="zh-CN"/>
        </w:rPr>
        <w:t>4</w:t>
      </w:r>
      <w:r>
        <w:rPr>
          <w:rFonts w:hint="eastAsia"/>
          <w:color w:val="auto"/>
          <w:highlight w:val="none"/>
          <w:lang w:val="en-GB"/>
        </w:rPr>
        <w:t>. 投标人必须自行为其投标产品</w:t>
      </w:r>
      <w:r>
        <w:rPr>
          <w:rFonts w:hint="eastAsia"/>
          <w:color w:val="auto"/>
          <w:highlight w:val="none"/>
          <w:lang w:val="en-US" w:eastAsia="zh-CN"/>
        </w:rPr>
        <w:t>或服务</w:t>
      </w:r>
      <w:r>
        <w:rPr>
          <w:rFonts w:hint="eastAsia"/>
          <w:color w:val="auto"/>
          <w:highlight w:val="none"/>
          <w:lang w:val="en-GB"/>
        </w:rPr>
        <w:t>侵犯他人的知识产权或者专利成果的行为承担相应法律责任。</w:t>
      </w:r>
      <w:bookmarkStart w:id="45" w:name="_Hlk65055179_ai"/>
    </w:p>
    <w:p w14:paraId="40164B3B">
      <w:pPr>
        <w:shd w:val="clear"/>
        <w:snapToGrid w:val="0"/>
        <w:spacing w:line="360" w:lineRule="auto"/>
        <w:ind w:firstLine="424" w:firstLineChars="202"/>
        <w:jc w:val="left"/>
        <w:rPr>
          <w:rFonts w:hint="eastAsia" w:ascii="宋体" w:hAnsi="宋体"/>
          <w:bCs/>
          <w:color w:val="auto"/>
          <w:highlight w:val="none"/>
        </w:rPr>
      </w:pPr>
      <w:r>
        <w:rPr>
          <w:rFonts w:hint="eastAsia"/>
          <w:color w:val="auto"/>
          <w:highlight w:val="none"/>
          <w:lang w:val="en-US" w:eastAsia="zh-CN"/>
        </w:rPr>
        <w:t>5</w:t>
      </w:r>
      <w:r>
        <w:rPr>
          <w:rFonts w:hint="eastAsia"/>
          <w:color w:val="auto"/>
          <w:highlight w:val="none"/>
          <w:lang w:val="en-GB"/>
        </w:rPr>
        <w:t>.</w:t>
      </w:r>
      <w:r>
        <w:rPr>
          <w:rFonts w:hint="eastAsia" w:ascii="宋体" w:hAnsi="宋体"/>
          <w:bCs/>
          <w:color w:val="auto"/>
          <w:highlight w:val="none"/>
        </w:rPr>
        <w:t xml:space="preserve"> 本项目所属行业：其他未列明行业。</w:t>
      </w:r>
      <w:bookmarkEnd w:id="42"/>
      <w:bookmarkEnd w:id="43"/>
      <w:bookmarkEnd w:id="44"/>
      <w:bookmarkEnd w:id="45"/>
      <w:bookmarkStart w:id="46" w:name="_Toc254970631_ai"/>
      <w:bookmarkEnd w:id="46"/>
      <w:bookmarkStart w:id="47" w:name="_Toc254970490_ai"/>
      <w:bookmarkEnd w:id="47"/>
    </w:p>
    <w:p w14:paraId="13E966B1">
      <w:pPr>
        <w:shd w:val="clear"/>
        <w:rPr>
          <w:rFonts w:hint="eastAsia" w:ascii="宋体" w:hAnsi="宋体"/>
          <w:bCs/>
          <w:color w:val="auto"/>
          <w:highlight w:val="none"/>
        </w:rPr>
      </w:pPr>
      <w:r>
        <w:rPr>
          <w:rFonts w:hint="eastAsia" w:ascii="宋体" w:hAnsi="宋体"/>
          <w:bCs/>
          <w:color w:val="auto"/>
          <w:highlight w:val="none"/>
        </w:rPr>
        <w:br w:type="page"/>
      </w:r>
    </w:p>
    <w:p w14:paraId="6BF7734A">
      <w:pPr>
        <w:shd w:val="clear"/>
        <w:snapToGrid w:val="0"/>
        <w:spacing w:line="360" w:lineRule="auto"/>
        <w:ind w:firstLine="424" w:firstLineChars="202"/>
        <w:jc w:val="left"/>
        <w:rPr>
          <w:rFonts w:hint="eastAsia" w:ascii="宋体" w:hAnsi="宋体"/>
          <w:bCs/>
          <w:color w:val="auto"/>
          <w:highlight w:val="none"/>
        </w:rPr>
      </w:pPr>
    </w:p>
    <w:tbl>
      <w:tblPr>
        <w:tblStyle w:val="48"/>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3"/>
        <w:gridCol w:w="15"/>
        <w:gridCol w:w="868"/>
        <w:gridCol w:w="838"/>
        <w:gridCol w:w="7655"/>
      </w:tblGrid>
      <w:tr w14:paraId="29BFF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5000" w:type="pct"/>
            <w:gridSpan w:val="5"/>
            <w:noWrap/>
            <w:vAlign w:val="center"/>
          </w:tcPr>
          <w:p w14:paraId="3B179E81">
            <w:pPr>
              <w:shd w:val="clear"/>
              <w:tabs>
                <w:tab w:val="left" w:pos="180"/>
                <w:tab w:val="left" w:pos="1620"/>
              </w:tabs>
              <w:spacing w:line="360" w:lineRule="auto"/>
              <w:jc w:val="left"/>
              <w:rPr>
                <w:rFonts w:hint="eastAsia" w:ascii="宋体" w:hAnsi="宋体" w:cs="宋体"/>
                <w:color w:val="auto"/>
                <w:szCs w:val="21"/>
                <w:highlight w:val="none"/>
              </w:rPr>
            </w:pPr>
            <w:r>
              <w:rPr>
                <w:rFonts w:hint="eastAsia" w:ascii="宋体" w:hAnsi="宋体" w:cs="宋体"/>
                <w:b/>
                <w:color w:val="auto"/>
                <w:szCs w:val="21"/>
                <w:highlight w:val="none"/>
              </w:rPr>
              <w:t>一、项目要求及技术需求</w:t>
            </w:r>
          </w:p>
        </w:tc>
      </w:tr>
      <w:tr w14:paraId="2928B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90" w:type="pct"/>
            <w:gridSpan w:val="2"/>
            <w:noWrap/>
            <w:vAlign w:val="center"/>
          </w:tcPr>
          <w:p w14:paraId="0CAC9D64">
            <w:pPr>
              <w:shd w:val="clea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436" w:type="pct"/>
            <w:noWrap/>
            <w:vAlign w:val="center"/>
          </w:tcPr>
          <w:p w14:paraId="65FF1528">
            <w:pPr>
              <w:shd w:val="clea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标的的名称</w:t>
            </w:r>
          </w:p>
        </w:tc>
        <w:tc>
          <w:tcPr>
            <w:tcW w:w="421" w:type="pct"/>
            <w:noWrap/>
            <w:vAlign w:val="center"/>
          </w:tcPr>
          <w:p w14:paraId="4DD86C20">
            <w:pPr>
              <w:shd w:val="clea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3850" w:type="pct"/>
            <w:noWrap/>
            <w:vAlign w:val="center"/>
          </w:tcPr>
          <w:p w14:paraId="6FA2CBD9">
            <w:pPr>
              <w:shd w:val="clea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技术服务要求</w:t>
            </w:r>
          </w:p>
        </w:tc>
      </w:tr>
      <w:tr w14:paraId="68221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90" w:type="pct"/>
            <w:gridSpan w:val="2"/>
            <w:noWrap/>
            <w:vAlign w:val="center"/>
          </w:tcPr>
          <w:p w14:paraId="70A4FEF2">
            <w:pPr>
              <w:shd w:val="clea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36" w:type="pct"/>
            <w:noWrap/>
            <w:vAlign w:val="center"/>
          </w:tcPr>
          <w:p w14:paraId="646F7A80">
            <w:pPr>
              <w:shd w:val="clea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lang w:eastAsia="zh-CN"/>
              </w:rPr>
              <w:t>广西医科大学附属武鸣医院被服、布草洗涤服务</w:t>
            </w:r>
          </w:p>
        </w:tc>
        <w:tc>
          <w:tcPr>
            <w:tcW w:w="421" w:type="pct"/>
            <w:noWrap/>
            <w:vAlign w:val="center"/>
          </w:tcPr>
          <w:p w14:paraId="00ADCCAC">
            <w:pPr>
              <w:shd w:val="clea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1项</w:t>
            </w:r>
          </w:p>
        </w:tc>
        <w:tc>
          <w:tcPr>
            <w:tcW w:w="3850" w:type="pct"/>
            <w:noWrap/>
            <w:vAlign w:val="center"/>
          </w:tcPr>
          <w:p w14:paraId="17AE739F">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一、项目概况：</w:t>
            </w:r>
          </w:p>
          <w:p w14:paraId="2753E8C7">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广西医科大学附属武鸣医院全年布草洗涤量（以实际洗涤数量为准）。</w:t>
            </w:r>
          </w:p>
          <w:p w14:paraId="623F91EF">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二、布草消毒洗涤服务需求</w:t>
            </w:r>
          </w:p>
          <w:p w14:paraId="7E66BD3A">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（一）基本需求</w:t>
            </w:r>
          </w:p>
          <w:p w14:paraId="538E3DB2">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1.布草消毒洗涤实行外包服务模式，医院使用的布草自行采购，洗涤服务机构只提供消毒洗涤服务。</w:t>
            </w:r>
          </w:p>
          <w:p w14:paraId="60C1822D">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2.服务期限：2年。</w:t>
            </w:r>
          </w:p>
          <w:p w14:paraId="5E029D2F">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3.洗涤服务机构如有请提供相关资质、人员配置、设备配置、广西医科大学附属武鸣医院被服、布草等洗涤服务采购项目成功案例等相关资料。</w:t>
            </w:r>
          </w:p>
          <w:p w14:paraId="18963CA1">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4.洗涤内容见附件一：《广西医科大学附属武鸣医院被服、布草等洗涤服务采购项目服务需求一览表》。</w:t>
            </w:r>
          </w:p>
          <w:p w14:paraId="0D909ED0">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（二）消毒洗涤质量需求</w:t>
            </w:r>
          </w:p>
          <w:p w14:paraId="27C7F1CA">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1.洗涤服务机构的洗衣房管理、衣物洗涤、消毒、储存必须严格执行卫生行政管理部门颁布的《医院医用织物洗涤消毒技术规范《WS/T 508-2016》、《医疗机构消毒技术规范》、《医院感染管理规范（试行）》，应建立医用布草洗涤消毒工作流程，分类收集，洗涤消毒。卫生质量监测检查，清洁织物储存管理，安全操作，设备与环境卫生保洁以及从业人员岗位职责、职业防护等制度。</w:t>
            </w:r>
          </w:p>
          <w:p w14:paraId="67C3F1A6">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2.消毒洗涤具体细则见附件二《广西医科大学附属武鸣医院医院洗涤工作管理细则》。</w:t>
            </w:r>
          </w:p>
          <w:p w14:paraId="2D45768E">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（三）洗涤用水，设备及用品要求</w:t>
            </w:r>
          </w:p>
          <w:p w14:paraId="53EFE815">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1.医用布草洗涤，消毒，烘干熨烫等用品与设备应满足工作需要。</w:t>
            </w:r>
          </w:p>
          <w:p w14:paraId="0F76A5D9">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2.洗涤用水质量要符合最新国家标准洗涤用水的卫生质量应符合GB 5749-2006《生活饮用水卫生标准》要求。</w:t>
            </w:r>
          </w:p>
          <w:p w14:paraId="3A7A6E78">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3.洗涤和烘干设备应选用经国家检测合格，具有加热功能的专用洗涤和烘干设备。</w:t>
            </w:r>
          </w:p>
          <w:p w14:paraId="06E7CE3E">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4.宜选择卫生隔离式洗涤烘干设备。</w:t>
            </w:r>
          </w:p>
          <w:p w14:paraId="117F0D94">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5.社会洗涤服务机构宜装备隧道式洗涤机组。</w:t>
            </w:r>
          </w:p>
          <w:p w14:paraId="7A0A8352">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洗涤剂必须是适合医院使用的，具有增白，除血，消毒一次完成功能的医院专用洗涤剂(须有相关资料证明），符合WS/T508-2016《医院医用织物洗涤消毒技术规范》的要求，符合中国医院协会后勤管理专业委员会洗涤消毒学组洗衣房质量评价实施指南关于洗涤用品的质量要求：</w:t>
            </w:r>
          </w:p>
          <w:p w14:paraId="2BEE2A2B">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6.1洗涤剂、消毒剂及消毒物品应符合国家有关规定及要求，使用的洗涤剂、消毒剂安全有效，避免对工作人员的伤害和对洗涤医用织物(布草）的损坏。洗涤消毒产品应有生产企业的《企业技术技术标准》、《企业技术标准备案证书》或公示证明、质量技术监督局的《检验报告》、卫生部门的《检验报告》复印件。必须附有生产厂名、工厂地址、联系方式、保质期、安全提示、检测合格证及执行标准号。</w:t>
            </w:r>
          </w:p>
          <w:p w14:paraId="7C015C0A">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按照WS/T508-2016《医用织物洗涤消毒技术规范》：要求“医用织物应全程可追溯，记录保存至少6个月，涵盖收送时间、洗涤参数、交接人员等关键信息。”洗涤服务机构须配备RFID追溯管理系统，对医院布草全生命周期进行追踪管理，实现洗涤过程、流转记录、质量监测等数据的实时查询与追溯。</w:t>
            </w:r>
          </w:p>
          <w:p w14:paraId="6B7872FF">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（四）布草收送需求</w:t>
            </w:r>
          </w:p>
          <w:p w14:paraId="235A5BFC">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1.收送时间：每天收两次、送一次（收取时间范围：上午8:00-9:00；下午：15：-16:00；送达时间范围：上午8:00-9:00。）。</w:t>
            </w:r>
          </w:p>
          <w:p w14:paraId="4587080E">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2.工作服每天收两次、送一次，具有特殊情况、特殊科室的，按科室要求收送。</w:t>
            </w:r>
          </w:p>
          <w:p w14:paraId="37C8E2E2">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收送工作要求：由采购人提供场所，洗涤服务机构派驻医院的工作人员（人数不做具体要求，需满足洗涤收送工作需要，含项目经理，费用由洗涤服务机构支付），用于负责布草洗涤用品的收、送、缝补、报损、结算等工作。</w:t>
            </w:r>
          </w:p>
          <w:p w14:paraId="4A80AA2D">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洗涤服务机构须保证用于物流的车辆在每次运送洁净布草前按照相关院感标准进行严格的消毒处理并达到院感要求，自备院内各病区收送布草的车辆、分发工作台及工作中必需的物料、材料和工器具，充分满足工作需要。维修和配件更换由中标人自行承担费用，并按院内要求定期消毒；洗涤服务机构根据医院要求，每天必须将洗净布草发放给各病区，并清点数量，双方签字确认。如有收送不按要求执行，情况影响医院工作正常运行，医院视情节严重程度处罚500-5000元；严重影响医院正常运行时，医院有权解除合同。</w:t>
            </w:r>
          </w:p>
          <w:p w14:paraId="05D0AD58">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（五）采购人的权利与义务</w:t>
            </w:r>
          </w:p>
          <w:p w14:paraId="0A374520">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1.医院为洗涤服务机构提供一间约20平方米房间，作为转运布草的场地，场地的水电费从洗涤费中扣除，布局装修改造费由中标单位支付。</w:t>
            </w:r>
          </w:p>
          <w:p w14:paraId="7838EC24">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2.医院对洗涤服务机构的服务行使监督权。</w:t>
            </w:r>
          </w:p>
          <w:p w14:paraId="2CF9AA6F">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3.定期对洗涤服务机构的洗涤质量、洗涤用品进行抽查。</w:t>
            </w:r>
          </w:p>
          <w:p w14:paraId="638310DA">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4.洗涤服务机构承接医院以外的洗涤业务，如果未完成医院布草洗涤及满足供应的情况下，医院有权解除合同。</w:t>
            </w:r>
          </w:p>
          <w:p w14:paraId="3804F23C">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医院在督查中发现洗涤服务机构派驻的负责人管理不当或不能胜任管理工作时，经提出三次整改依然无改变现象，医院有权利要求洗涤服务机构进行撤换，如不及时撤换，医院有权对洗涤服务机构按照《广西医科大学附属武鸣医院洗涤工作管理细则》中的相关处罚规定进行处罚。</w:t>
            </w:r>
          </w:p>
          <w:p w14:paraId="15504552">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6.医院按合同约定要求向洗涤服务机构支付洗涤费用。</w:t>
            </w:r>
          </w:p>
          <w:p w14:paraId="01713968">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每月对布草洗涤质量进行满意度测评，测评的内容包括：布草洗涤的洁净度、收送及时性、整烫的平整度、收送人员服务态度等（详见附件三：广西医科大学附属武鸣医院洗涤工作质量考核表）。要求每月的平均分≥85分，如＜85分，每低一分扣500元（即：=500×（85-X），X表示实际得分）。连续三月测评均低于85分，医院有权解除合同。</w:t>
            </w:r>
          </w:p>
          <w:p w14:paraId="01A96978">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（六）洗涤服务机构的权利与义务</w:t>
            </w:r>
          </w:p>
          <w:p w14:paraId="21677C03">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1.自主经营，独立核算。</w:t>
            </w:r>
          </w:p>
          <w:p w14:paraId="36AD2328">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严格按照国家卫生健康委员会颁布的《医院医用织物洗涤消毒技术规范》要求洗涤、消毒医院的布草，如因布草未按洗涤消毒技术规范造成医院感染的洗涤服务机构负全责，并赔偿因此造成的经济损失，医院不承担任何责任，如因洗涤服务机构未按照正确的洗涤方法造成布草非正常耗损的须照价赔偿。</w:t>
            </w:r>
          </w:p>
          <w:p w14:paraId="7D20A54B">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▲3、收送布草的车辆必须严格区分，专车专用，不能混运混放，必须严格按污染区洁净区各行其道，避免交叉感染。</w:t>
            </w:r>
          </w:p>
          <w:p w14:paraId="1DAF04B6">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4.每日收集至洗涤场所的布草须当天洗涤，布草不允许留在洗衣机里过夜。</w:t>
            </w:r>
          </w:p>
          <w:p w14:paraId="5C6AA948">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▲5、为避免交叉感染，承担疾控的社会责任，洗涤机构必须承诺不与宾馆、饭店类行业的洗涤物在同一区域同一车间内洗涤。</w:t>
            </w:r>
          </w:p>
          <w:p w14:paraId="64EDC9FE">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按规定工作流程收送布草并科室签收清点交接单，配备RFID追溯管理系统，对医院布草全生命周期进行追踪管理，实现洗涤过程、流转记录、质量监测等数据的实时查询与追溯。</w:t>
            </w:r>
          </w:p>
          <w:p w14:paraId="55F6A416">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7.洗涤服务机构在医院办公场所生产的费用(电费、水费）从洗涤费中扣除，科室临时需要缝补、熨烫等服务项目，中标人自备工具，并提供服务。</w:t>
            </w:r>
          </w:p>
          <w:p w14:paraId="7AB83E95">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8.洗涤服务机构要高度重视安全生产教育，提高安全生产意识，保证生产安全，因安全生产问题引起的事故，一切责任由洗涤服务机构负责。</w:t>
            </w:r>
          </w:p>
          <w:p w14:paraId="4D6B770F">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9.洗涤服务机构的服务人员在岗履行工作职责期间，发生自身的人身伤害、伤亡，均由洗涤服务机构负责处理并承担经济和法律责任，医院不承担任何责任。</w:t>
            </w:r>
          </w:p>
          <w:p w14:paraId="3E9C6BC8">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洗涤服务机构用工时必须为每位员工购买社保，如员工已达到退休年龄或员工已经自购社保或自购新农合的，需提供相关保险的复印件给洗涤服务机构备档，经洗涤服务机构批准后员工方可放弃由洗涤服务机构购买社保。</w:t>
            </w:r>
          </w:p>
          <w:p w14:paraId="615B9422">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11.洗涤服务机构违反国家相关法规，与聘用人员发生纠纷的，均由洗涤服务机构负责调解与处理，医院不承担责任。</w:t>
            </w:r>
          </w:p>
          <w:p w14:paraId="5B855A21">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（七）其他需求</w:t>
            </w:r>
          </w:p>
          <w:p w14:paraId="78EE7116">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1.洗涤服务机构必须提供资质证明、简介等资料(包括目前所管洗涤业务情况介绍）。</w:t>
            </w:r>
          </w:p>
          <w:p w14:paraId="4C63E2B7">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2.技术方案须体现洗涤服务机构对投标医院布草洗涤服务的总体目标(即在一定期限内质量管理达到何种标准），并包括如下内容：</w:t>
            </w:r>
          </w:p>
          <w:p w14:paraId="7874FBFE">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(1)洗涤服务机构拟采取的管理方式，包括内部管理架构设置、</w:t>
            </w:r>
            <w:r>
              <w:rPr>
                <w:rFonts w:hint="eastAsia" w:ascii="宋体" w:hAnsi="宋体" w:cs="宋体"/>
                <w:color w:val="auto"/>
                <w:szCs w:val="21"/>
                <w:highlight w:val="none"/>
                <w:lang w:val="en-US" w:eastAsia="zh-CN"/>
              </w:rPr>
              <w:t>运作</w:t>
            </w:r>
            <w:r>
              <w:rPr>
                <w:rFonts w:hint="eastAsia" w:ascii="宋体" w:hAnsi="宋体" w:eastAsia="宋体" w:cs="宋体"/>
                <w:color w:val="auto"/>
                <w:szCs w:val="21"/>
                <w:highlight w:val="none"/>
                <w:lang w:val="en-US" w:eastAsia="zh-CN"/>
              </w:rPr>
              <w:t>机制、工艺流程、信息反馈处理机制、员工待遇、激励机制等。</w:t>
            </w:r>
          </w:p>
          <w:p w14:paraId="468E33A9">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(2）管理人员及员工配备。包括：人员的编制、配置情况，素质要求(学历、能力、经历），培训计划、上岗考核标准等。</w:t>
            </w:r>
          </w:p>
          <w:p w14:paraId="2771B764">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(3）服务承诺。对本项目服务范围及要求进行逐条响应。</w:t>
            </w:r>
          </w:p>
          <w:p w14:paraId="2B38DD83">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(4）管理工作必需的物资准备计划。</w:t>
            </w:r>
          </w:p>
          <w:p w14:paraId="60A99F7E">
            <w:pPr>
              <w:shd w:val="clear"/>
              <w:spacing w:line="360" w:lineRule="auto"/>
              <w:ind w:left="-76" w:leftChars="-36"/>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(5）档案建立与管理。包括管理档案、投诉与回访记录等。</w:t>
            </w:r>
          </w:p>
        </w:tc>
      </w:tr>
      <w:tr w14:paraId="2A475A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tcPr>
          <w:p w14:paraId="5A925BC0">
            <w:pPr>
              <w:shd w:val="clear"/>
              <w:spacing w:line="360" w:lineRule="auto"/>
              <w:rPr>
                <w:rFonts w:hint="eastAsia" w:ascii="宋体" w:hAnsi="宋体" w:cs="宋体"/>
                <w:b/>
                <w:bCs/>
                <w:color w:val="auto"/>
                <w:szCs w:val="21"/>
                <w:highlight w:val="none"/>
              </w:rPr>
            </w:pPr>
            <w:r>
              <w:rPr>
                <w:rFonts w:hint="eastAsia" w:ascii="宋体" w:hAnsi="宋体" w:cs="宋体"/>
                <w:color w:val="auto"/>
                <w:szCs w:val="21"/>
                <w:highlight w:val="none"/>
              </w:rPr>
              <w:t>▲</w:t>
            </w:r>
            <w:r>
              <w:rPr>
                <w:rFonts w:hint="eastAsia" w:ascii="宋体" w:hAnsi="宋体" w:cs="宋体"/>
                <w:b/>
                <w:color w:val="auto"/>
                <w:szCs w:val="21"/>
                <w:highlight w:val="none"/>
              </w:rPr>
              <w:t>二、商务要求</w:t>
            </w:r>
          </w:p>
        </w:tc>
      </w:tr>
      <w:tr w14:paraId="5A51C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jc w:val="center"/>
        </w:trPr>
        <w:tc>
          <w:tcPr>
            <w:tcW w:w="283" w:type="pct"/>
            <w:tcBorders>
              <w:top w:val="single" w:color="000000" w:sz="4" w:space="0"/>
              <w:left w:val="single" w:color="000000" w:sz="4" w:space="0"/>
              <w:bottom w:val="single" w:color="000000" w:sz="4" w:space="0"/>
              <w:right w:val="single" w:color="000000" w:sz="4" w:space="0"/>
            </w:tcBorders>
            <w:noWrap/>
            <w:vAlign w:val="center"/>
          </w:tcPr>
          <w:p w14:paraId="391551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1</w:t>
            </w:r>
          </w:p>
        </w:tc>
        <w:tc>
          <w:tcPr>
            <w:tcW w:w="865" w:type="pct"/>
            <w:gridSpan w:val="3"/>
            <w:tcBorders>
              <w:top w:val="single" w:color="000000" w:sz="4" w:space="0"/>
              <w:left w:val="single" w:color="000000" w:sz="4" w:space="0"/>
              <w:bottom w:val="single" w:color="000000" w:sz="4" w:space="0"/>
              <w:right w:val="single" w:color="auto" w:sz="4" w:space="0"/>
            </w:tcBorders>
            <w:noWrap/>
            <w:vAlign w:val="center"/>
          </w:tcPr>
          <w:p w14:paraId="70D8F7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合同签订日期</w:t>
            </w:r>
          </w:p>
        </w:tc>
        <w:tc>
          <w:tcPr>
            <w:tcW w:w="3850" w:type="pct"/>
            <w:tcBorders>
              <w:top w:val="single" w:color="000000" w:sz="4" w:space="0"/>
              <w:left w:val="single" w:color="auto" w:sz="4" w:space="0"/>
              <w:bottom w:val="single" w:color="000000" w:sz="4" w:space="0"/>
              <w:right w:val="single" w:color="000000" w:sz="4" w:space="0"/>
            </w:tcBorders>
            <w:noWrap/>
            <w:vAlign w:val="center"/>
          </w:tcPr>
          <w:p w14:paraId="69BE5C9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成交通知书发出后25日内。</w:t>
            </w:r>
          </w:p>
        </w:tc>
      </w:tr>
      <w:tr w14:paraId="325FB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6" w:hRule="atLeast"/>
          <w:jc w:val="center"/>
        </w:trPr>
        <w:tc>
          <w:tcPr>
            <w:tcW w:w="283" w:type="pct"/>
            <w:tcBorders>
              <w:top w:val="single" w:color="000000" w:sz="4" w:space="0"/>
              <w:left w:val="single" w:color="000000" w:sz="4" w:space="0"/>
              <w:bottom w:val="single" w:color="000000" w:sz="4" w:space="0"/>
              <w:right w:val="single" w:color="000000" w:sz="4" w:space="0"/>
            </w:tcBorders>
            <w:noWrap/>
            <w:vAlign w:val="center"/>
          </w:tcPr>
          <w:p w14:paraId="3B4E59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2</w:t>
            </w:r>
          </w:p>
        </w:tc>
        <w:tc>
          <w:tcPr>
            <w:tcW w:w="865" w:type="pct"/>
            <w:gridSpan w:val="3"/>
            <w:tcBorders>
              <w:top w:val="single" w:color="000000" w:sz="4" w:space="0"/>
              <w:left w:val="single" w:color="000000" w:sz="4" w:space="0"/>
              <w:bottom w:val="single" w:color="000000" w:sz="4" w:space="0"/>
              <w:right w:val="single" w:color="auto" w:sz="4" w:space="0"/>
            </w:tcBorders>
            <w:noWrap/>
            <w:vAlign w:val="center"/>
          </w:tcPr>
          <w:p w14:paraId="5EAC8D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服务地点</w:t>
            </w:r>
          </w:p>
        </w:tc>
        <w:tc>
          <w:tcPr>
            <w:tcW w:w="3850" w:type="pct"/>
            <w:tcBorders>
              <w:top w:val="single" w:color="000000" w:sz="4" w:space="0"/>
              <w:left w:val="single" w:color="auto" w:sz="4" w:space="0"/>
              <w:bottom w:val="single" w:color="000000" w:sz="4" w:space="0"/>
              <w:right w:val="single" w:color="000000" w:sz="4" w:space="0"/>
            </w:tcBorders>
            <w:noWrap/>
            <w:vAlign w:val="center"/>
          </w:tcPr>
          <w:p w14:paraId="7E625EE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rPr>
            </w:pPr>
            <w:r>
              <w:rPr>
                <w:rFonts w:hint="eastAsia" w:ascii="宋体" w:hAnsi="宋体" w:cs="宋体"/>
                <w:i w:val="0"/>
                <w:iCs w:val="0"/>
                <w:color w:val="auto"/>
                <w:kern w:val="0"/>
                <w:sz w:val="21"/>
                <w:szCs w:val="21"/>
                <w:u w:val="none"/>
                <w:lang w:val="en-US" w:eastAsia="zh-CN" w:bidi="ar"/>
              </w:rPr>
              <w:t>广西医科大学附属武鸣医院采购人指定地点</w:t>
            </w:r>
          </w:p>
        </w:tc>
      </w:tr>
      <w:tr w14:paraId="13063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jc w:val="center"/>
        </w:trPr>
        <w:tc>
          <w:tcPr>
            <w:tcW w:w="283" w:type="pct"/>
            <w:tcBorders>
              <w:top w:val="single" w:color="000000" w:sz="4" w:space="0"/>
              <w:left w:val="single" w:color="000000" w:sz="4" w:space="0"/>
              <w:bottom w:val="single" w:color="000000" w:sz="4" w:space="0"/>
              <w:right w:val="single" w:color="000000" w:sz="4" w:space="0"/>
            </w:tcBorders>
            <w:noWrap/>
            <w:vAlign w:val="center"/>
          </w:tcPr>
          <w:p w14:paraId="4B628E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3</w:t>
            </w:r>
          </w:p>
        </w:tc>
        <w:tc>
          <w:tcPr>
            <w:tcW w:w="865" w:type="pct"/>
            <w:gridSpan w:val="3"/>
            <w:tcBorders>
              <w:top w:val="single" w:color="000000" w:sz="4" w:space="0"/>
              <w:left w:val="single" w:color="000000" w:sz="4" w:space="0"/>
              <w:bottom w:val="single" w:color="000000" w:sz="4" w:space="0"/>
              <w:right w:val="single" w:color="auto" w:sz="4" w:space="0"/>
            </w:tcBorders>
            <w:noWrap/>
            <w:vAlign w:val="center"/>
          </w:tcPr>
          <w:p w14:paraId="1C296E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服务期限</w:t>
            </w:r>
          </w:p>
        </w:tc>
        <w:tc>
          <w:tcPr>
            <w:tcW w:w="3850" w:type="pct"/>
            <w:tcBorders>
              <w:top w:val="single" w:color="000000" w:sz="4" w:space="0"/>
              <w:left w:val="single" w:color="auto" w:sz="4" w:space="0"/>
              <w:bottom w:val="single" w:color="000000" w:sz="4" w:space="0"/>
              <w:right w:val="single" w:color="000000" w:sz="4" w:space="0"/>
            </w:tcBorders>
            <w:noWrap/>
            <w:vAlign w:val="center"/>
          </w:tcPr>
          <w:p w14:paraId="7D2CE64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rPr>
            </w:pPr>
            <w:r>
              <w:rPr>
                <w:rFonts w:hint="eastAsia" w:ascii="宋体" w:hAnsi="宋体" w:cs="宋体"/>
                <w:i w:val="0"/>
                <w:iCs w:val="0"/>
                <w:color w:val="auto"/>
                <w:kern w:val="0"/>
                <w:sz w:val="21"/>
                <w:szCs w:val="21"/>
                <w:u w:val="none"/>
                <w:lang w:val="en-US" w:eastAsia="zh-CN" w:bidi="ar"/>
              </w:rPr>
              <w:t>服务期限2年</w:t>
            </w:r>
            <w:r>
              <w:rPr>
                <w:rFonts w:hint="eastAsia" w:ascii="宋体" w:hAnsi="宋体" w:eastAsia="宋体" w:cs="宋体"/>
                <w:i w:val="0"/>
                <w:iCs w:val="0"/>
                <w:color w:val="auto"/>
                <w:kern w:val="0"/>
                <w:sz w:val="21"/>
                <w:szCs w:val="21"/>
                <w:u w:val="none"/>
                <w:lang w:val="en-US" w:eastAsia="zh-CN" w:bidi="ar"/>
              </w:rPr>
              <w:t>。</w:t>
            </w:r>
          </w:p>
        </w:tc>
      </w:tr>
      <w:tr w14:paraId="30D9D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283" w:type="pct"/>
            <w:tcBorders>
              <w:top w:val="single" w:color="000000" w:sz="4" w:space="0"/>
              <w:left w:val="single" w:color="000000" w:sz="4" w:space="0"/>
              <w:bottom w:val="single" w:color="000000" w:sz="4" w:space="0"/>
              <w:right w:val="single" w:color="000000" w:sz="4" w:space="0"/>
            </w:tcBorders>
            <w:noWrap/>
            <w:vAlign w:val="center"/>
          </w:tcPr>
          <w:p w14:paraId="0DACC2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4</w:t>
            </w:r>
          </w:p>
        </w:tc>
        <w:tc>
          <w:tcPr>
            <w:tcW w:w="865" w:type="pct"/>
            <w:gridSpan w:val="3"/>
            <w:tcBorders>
              <w:top w:val="single" w:color="000000" w:sz="4" w:space="0"/>
              <w:left w:val="single" w:color="000000" w:sz="4" w:space="0"/>
              <w:bottom w:val="single" w:color="000000" w:sz="4" w:space="0"/>
              <w:right w:val="single" w:color="auto" w:sz="4" w:space="0"/>
            </w:tcBorders>
            <w:noWrap/>
            <w:vAlign w:val="center"/>
          </w:tcPr>
          <w:p w14:paraId="49866F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付款</w:t>
            </w:r>
            <w:r>
              <w:rPr>
                <w:rFonts w:hint="eastAsia" w:ascii="宋体" w:hAnsi="宋体" w:cs="宋体"/>
                <w:i w:val="0"/>
                <w:iCs w:val="0"/>
                <w:color w:val="auto"/>
                <w:kern w:val="0"/>
                <w:sz w:val="21"/>
                <w:szCs w:val="21"/>
                <w:u w:val="none"/>
                <w:lang w:val="en-US" w:eastAsia="zh-CN" w:bidi="ar"/>
              </w:rPr>
              <w:t>要求</w:t>
            </w:r>
          </w:p>
        </w:tc>
        <w:tc>
          <w:tcPr>
            <w:tcW w:w="3850" w:type="pct"/>
            <w:tcBorders>
              <w:top w:val="single" w:color="000000" w:sz="4" w:space="0"/>
              <w:left w:val="single" w:color="auto" w:sz="4" w:space="0"/>
              <w:bottom w:val="single" w:color="000000" w:sz="4" w:space="0"/>
              <w:right w:val="single" w:color="000000" w:sz="4" w:space="0"/>
            </w:tcBorders>
            <w:noWrap/>
            <w:vAlign w:val="center"/>
          </w:tcPr>
          <w:p w14:paraId="69E185B3">
            <w:pPr>
              <w:pStyle w:val="17"/>
              <w:widowControl w:val="0"/>
              <w:spacing w:line="360" w:lineRule="auto"/>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1.费用计算：按每月实际发生的洗涤品目数量进行计算，即：每月洗涤费用＝每月洗涤数量×对应洗涤品目中标单价。【对应洗涤品目中标单价=洗涤品目上控单价×（1-中标下浮系数）】</w:t>
            </w:r>
          </w:p>
          <w:p w14:paraId="3A0CDE97">
            <w:pPr>
              <w:pStyle w:val="17"/>
              <w:widowControl w:val="0"/>
              <w:spacing w:line="360" w:lineRule="auto"/>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2.结算费用：实际结算金额须在当月洗涤费用金额基础上，扣减当月考核金额、违约金等（如被考核的应扣金额、违约金等）进行结算，即：实际结算金额=当月洗涤费用-当月考核应扣金额、违约金等。</w:t>
            </w:r>
          </w:p>
          <w:p w14:paraId="12763A1C">
            <w:pPr>
              <w:pStyle w:val="17"/>
              <w:widowControl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3.付款方式：费用按月结算。中标人于次月 10 日前向采购人提供上月费用明细清单，待采购人审核无误后由中标人按实际结算金额出具正规发票；采购人收到费用明细清单、洗涤质量考评结果及发票审核无误后按月结算，如：第四月支付第一月，第五月支付第二月，以此类推。</w:t>
            </w:r>
          </w:p>
        </w:tc>
      </w:tr>
      <w:tr w14:paraId="5E640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 w:hRule="atLeast"/>
          <w:jc w:val="center"/>
        </w:trPr>
        <w:tc>
          <w:tcPr>
            <w:tcW w:w="283" w:type="pct"/>
            <w:tcBorders>
              <w:top w:val="single" w:color="000000" w:sz="4" w:space="0"/>
              <w:left w:val="single" w:color="000000" w:sz="4" w:space="0"/>
              <w:bottom w:val="single" w:color="000000" w:sz="4" w:space="0"/>
              <w:right w:val="single" w:color="000000" w:sz="4" w:space="0"/>
            </w:tcBorders>
            <w:noWrap/>
            <w:vAlign w:val="center"/>
          </w:tcPr>
          <w:p w14:paraId="7B9F5B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5</w:t>
            </w:r>
          </w:p>
        </w:tc>
        <w:tc>
          <w:tcPr>
            <w:tcW w:w="865" w:type="pct"/>
            <w:gridSpan w:val="3"/>
            <w:tcBorders>
              <w:top w:val="single" w:color="000000" w:sz="4" w:space="0"/>
              <w:left w:val="single" w:color="000000" w:sz="4" w:space="0"/>
              <w:bottom w:val="single" w:color="000000" w:sz="4" w:space="0"/>
              <w:right w:val="single" w:color="auto" w:sz="4" w:space="0"/>
            </w:tcBorders>
            <w:noWrap/>
            <w:vAlign w:val="center"/>
          </w:tcPr>
          <w:p w14:paraId="689CE0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质量要求</w:t>
            </w:r>
          </w:p>
        </w:tc>
        <w:tc>
          <w:tcPr>
            <w:tcW w:w="3850" w:type="pct"/>
            <w:tcBorders>
              <w:top w:val="single" w:color="000000" w:sz="4" w:space="0"/>
              <w:left w:val="single" w:color="auto" w:sz="4" w:space="0"/>
              <w:bottom w:val="single" w:color="000000" w:sz="4" w:space="0"/>
              <w:right w:val="single" w:color="000000" w:sz="4" w:space="0"/>
            </w:tcBorders>
            <w:noWrap/>
            <w:vAlign w:val="center"/>
          </w:tcPr>
          <w:p w14:paraId="07F045A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洗涤后的布草、衣物干净，无任何污渍残留；按布草、衣物类别要求熨烫平整、保持挺括、烫迹分明、不留极光和水迹；不能出现因洗涤造成的变形、串色、脱色、织物发硬、起毛、划伤、破损等现象，无残留异味，纽扣饰物保持原状并完整无缺失，不宜折叠的成品不得折叠运送，应使用衣架，所有客衣均应有专用衣袋包装。收、送洗涤物品过程中应使用专用包装布包装。</w:t>
            </w:r>
          </w:p>
          <w:p w14:paraId="352EED2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（2）中标供应商必须保证布草洗涤质量达到使用标准，通过RFID追溯管理系统进行布草、被服管理，并有义务使用最优工艺和原料努力维护织物，以延长其使用寿命。</w:t>
            </w:r>
          </w:p>
          <w:p w14:paraId="237CBD1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（3）中标供应商使用的各种洗涤用品均应符合WS/T508-2016《医院医用织物洗涤消毒技术规范》及国家有关卫生、环保标准，不得使用任何有害人体健康的洗涤设备和原料，并遵守卫生消毒程序。</w:t>
            </w:r>
          </w:p>
          <w:p w14:paraId="6CBF171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（4）布草暂存点必须每天进行消毒并做好登记记录，配备RFID追溯管理系统，对医院布草全生命周期进行追踪管理，实现洗涤过程、流转记录、质量监测等数据的实时查询与追溯。</w:t>
            </w:r>
          </w:p>
        </w:tc>
      </w:tr>
      <w:tr w14:paraId="27AB5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 w:hRule="atLeast"/>
          <w:jc w:val="center"/>
        </w:trPr>
        <w:tc>
          <w:tcPr>
            <w:tcW w:w="283" w:type="pct"/>
            <w:tcBorders>
              <w:top w:val="single" w:color="000000" w:sz="4" w:space="0"/>
              <w:left w:val="single" w:color="000000" w:sz="4" w:space="0"/>
              <w:bottom w:val="single" w:color="000000" w:sz="4" w:space="0"/>
              <w:right w:val="single" w:color="000000" w:sz="4" w:space="0"/>
            </w:tcBorders>
            <w:noWrap/>
            <w:vAlign w:val="center"/>
          </w:tcPr>
          <w:p w14:paraId="09EB8A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6</w:t>
            </w:r>
          </w:p>
        </w:tc>
        <w:tc>
          <w:tcPr>
            <w:tcW w:w="865" w:type="pct"/>
            <w:gridSpan w:val="3"/>
            <w:tcBorders>
              <w:top w:val="single" w:color="000000" w:sz="4" w:space="0"/>
              <w:left w:val="single" w:color="000000" w:sz="4" w:space="0"/>
              <w:bottom w:val="single" w:color="000000" w:sz="4" w:space="0"/>
              <w:right w:val="single" w:color="auto" w:sz="4" w:space="0"/>
            </w:tcBorders>
            <w:noWrap/>
            <w:vAlign w:val="center"/>
          </w:tcPr>
          <w:p w14:paraId="7A5388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报价要求</w:t>
            </w:r>
          </w:p>
        </w:tc>
        <w:tc>
          <w:tcPr>
            <w:tcW w:w="3850" w:type="pct"/>
            <w:tcBorders>
              <w:top w:val="single" w:color="000000" w:sz="4" w:space="0"/>
              <w:left w:val="single" w:color="auto" w:sz="4" w:space="0"/>
              <w:bottom w:val="single" w:color="000000" w:sz="4" w:space="0"/>
              <w:right w:val="single" w:color="000000" w:sz="4" w:space="0"/>
            </w:tcBorders>
            <w:noWrap/>
            <w:vAlign w:val="center"/>
          </w:tcPr>
          <w:p w14:paraId="1AD2137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1.</w:t>
            </w:r>
            <w:r>
              <w:rPr>
                <w:rFonts w:hint="eastAsia" w:ascii="宋体" w:hAnsi="宋体" w:eastAsia="宋体" w:cs="宋体"/>
                <w:i w:val="0"/>
                <w:iCs w:val="0"/>
                <w:color w:val="auto"/>
                <w:kern w:val="0"/>
                <w:sz w:val="21"/>
                <w:szCs w:val="21"/>
                <w:u w:val="none"/>
                <w:lang w:val="en-US" w:eastAsia="zh-CN" w:bidi="ar"/>
              </w:rPr>
              <w:t>报价以</w:t>
            </w:r>
            <w:r>
              <w:rPr>
                <w:rFonts w:hint="eastAsia" w:ascii="宋体" w:hAnsi="宋体" w:cs="宋体"/>
                <w:i w:val="0"/>
                <w:iCs w:val="0"/>
                <w:color w:val="auto"/>
                <w:kern w:val="0"/>
                <w:sz w:val="21"/>
                <w:szCs w:val="21"/>
                <w:u w:val="none"/>
                <w:lang w:val="en-US" w:eastAsia="zh-CN" w:bidi="ar"/>
              </w:rPr>
              <w:t>下浮系数</w:t>
            </w:r>
            <w:r>
              <w:rPr>
                <w:rFonts w:hint="eastAsia" w:ascii="宋体" w:hAnsi="宋体" w:eastAsia="宋体" w:cs="宋体"/>
                <w:i w:val="0"/>
                <w:iCs w:val="0"/>
                <w:color w:val="auto"/>
                <w:kern w:val="0"/>
                <w:sz w:val="21"/>
                <w:szCs w:val="21"/>
                <w:u w:val="none"/>
                <w:lang w:val="en-US" w:eastAsia="zh-CN" w:bidi="ar"/>
              </w:rPr>
              <w:t>的方式进行报价，投标人根据附件</w:t>
            </w:r>
            <w:r>
              <w:rPr>
                <w:rFonts w:hint="eastAsia" w:ascii="宋体" w:hAnsi="宋体" w:cs="宋体"/>
                <w:i w:val="0"/>
                <w:iCs w:val="0"/>
                <w:color w:val="auto"/>
                <w:kern w:val="0"/>
                <w:sz w:val="21"/>
                <w:szCs w:val="21"/>
                <w:u w:val="none"/>
                <w:lang w:val="en-US" w:eastAsia="zh-CN" w:bidi="ar"/>
              </w:rPr>
              <w:t>一</w:t>
            </w:r>
            <w:r>
              <w:rPr>
                <w:rFonts w:hint="eastAsia" w:ascii="宋体" w:hAnsi="宋体" w:eastAsia="宋体" w:cs="宋体"/>
                <w:i w:val="0"/>
                <w:iCs w:val="0"/>
                <w:color w:val="auto"/>
                <w:kern w:val="0"/>
                <w:sz w:val="21"/>
                <w:szCs w:val="21"/>
                <w:u w:val="none"/>
                <w:lang w:val="en-US" w:eastAsia="zh-CN" w:bidi="ar"/>
              </w:rPr>
              <w:t>《广西医科大学附属武鸣医院被服、布草等洗涤服务采购项目服务需求一览表》进行报价，采购预算价为</w:t>
            </w:r>
            <w:r>
              <w:rPr>
                <w:rFonts w:hint="eastAsia" w:ascii="宋体" w:hAnsi="宋体" w:cs="宋体"/>
                <w:i w:val="0"/>
                <w:iCs w:val="0"/>
                <w:color w:val="auto"/>
                <w:kern w:val="0"/>
                <w:sz w:val="21"/>
                <w:szCs w:val="21"/>
                <w:u w:val="none"/>
                <w:lang w:val="en-US" w:eastAsia="zh-CN" w:bidi="ar"/>
              </w:rPr>
              <w:t>460</w:t>
            </w:r>
            <w:r>
              <w:rPr>
                <w:rFonts w:hint="eastAsia" w:ascii="宋体" w:hAnsi="宋体" w:eastAsia="宋体" w:cs="宋体"/>
                <w:i w:val="0"/>
                <w:iCs w:val="0"/>
                <w:color w:val="auto"/>
                <w:kern w:val="0"/>
                <w:sz w:val="21"/>
                <w:szCs w:val="21"/>
                <w:u w:val="none"/>
                <w:lang w:val="en-US" w:eastAsia="zh-CN" w:bidi="ar"/>
              </w:rPr>
              <w:t>万元，结算时合同实际结算总金额不能超过采购预算价，投标人自行评估考量每样品种的下浮空间，并给出一个所有品种的整体</w:t>
            </w:r>
            <w:r>
              <w:rPr>
                <w:rFonts w:hint="eastAsia" w:ascii="宋体" w:hAnsi="宋体" w:cs="宋体"/>
                <w:i w:val="0"/>
                <w:iCs w:val="0"/>
                <w:color w:val="auto"/>
                <w:kern w:val="0"/>
                <w:sz w:val="21"/>
                <w:szCs w:val="21"/>
                <w:u w:val="none"/>
                <w:lang w:val="en-US" w:eastAsia="zh-CN" w:bidi="ar"/>
              </w:rPr>
              <w:t>下浮系数</w:t>
            </w:r>
            <w:r>
              <w:rPr>
                <w:rFonts w:hint="eastAsia" w:ascii="宋体" w:hAnsi="宋体" w:eastAsia="宋体" w:cs="宋体"/>
                <w:i w:val="0"/>
                <w:iCs w:val="0"/>
                <w:color w:val="auto"/>
                <w:kern w:val="0"/>
                <w:sz w:val="21"/>
                <w:szCs w:val="21"/>
                <w:u w:val="none"/>
                <w:lang w:val="en-US" w:eastAsia="zh-CN" w:bidi="ar"/>
              </w:rPr>
              <w:t>，有效</w:t>
            </w:r>
            <w:r>
              <w:rPr>
                <w:rFonts w:hint="eastAsia" w:ascii="宋体" w:hAnsi="宋体" w:cs="宋体"/>
                <w:i w:val="0"/>
                <w:iCs w:val="0"/>
                <w:color w:val="auto"/>
                <w:kern w:val="0"/>
                <w:sz w:val="21"/>
                <w:szCs w:val="21"/>
                <w:u w:val="none"/>
                <w:lang w:val="en-US" w:eastAsia="zh-CN" w:bidi="ar"/>
              </w:rPr>
              <w:t>下浮系数</w:t>
            </w:r>
            <w:r>
              <w:rPr>
                <w:rFonts w:hint="eastAsia" w:ascii="宋体" w:hAnsi="宋体" w:eastAsia="宋体" w:cs="宋体"/>
                <w:i w:val="0"/>
                <w:iCs w:val="0"/>
                <w:color w:val="auto"/>
                <w:kern w:val="0"/>
                <w:sz w:val="21"/>
                <w:szCs w:val="21"/>
                <w:u w:val="none"/>
                <w:lang w:val="en-US" w:eastAsia="zh-CN" w:bidi="ar"/>
              </w:rPr>
              <w:t>为：</w:t>
            </w:r>
            <w:r>
              <w:rPr>
                <w:rFonts w:hint="eastAsia" w:ascii="宋体" w:hAnsi="宋体" w:cs="宋体"/>
                <w:i w:val="0"/>
                <w:iCs w:val="0"/>
                <w:color w:val="auto"/>
                <w:kern w:val="0"/>
                <w:sz w:val="21"/>
                <w:szCs w:val="21"/>
                <w:u w:val="none"/>
                <w:lang w:val="en-US" w:eastAsia="zh-CN" w:bidi="ar"/>
              </w:rPr>
              <w:t>0</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下浮系数</w:t>
            </w:r>
            <w:r>
              <w:rPr>
                <w:rFonts w:hint="eastAsia" w:ascii="宋体" w:hAnsi="宋体" w:eastAsia="宋体" w:cs="宋体"/>
                <w:i w:val="0"/>
                <w:iCs w:val="0"/>
                <w:color w:val="auto"/>
                <w:kern w:val="0"/>
                <w:sz w:val="21"/>
                <w:szCs w:val="21"/>
                <w:u w:val="none"/>
                <w:lang w:val="en-US" w:eastAsia="zh-CN" w:bidi="ar"/>
              </w:rPr>
              <w:t>＜100%，否则投标无效。</w:t>
            </w:r>
          </w:p>
          <w:p w14:paraId="6FD1160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rPr>
            </w:pPr>
            <w:r>
              <w:rPr>
                <w:rFonts w:hint="eastAsia" w:ascii="宋体" w:hAnsi="宋体" w:cs="宋体"/>
                <w:i w:val="0"/>
                <w:iCs w:val="0"/>
                <w:color w:val="auto"/>
                <w:kern w:val="0"/>
                <w:sz w:val="21"/>
                <w:szCs w:val="21"/>
                <w:u w:val="none"/>
                <w:lang w:val="en-US" w:eastAsia="zh-CN" w:bidi="ar"/>
              </w:rPr>
              <w:t>2.报价</w:t>
            </w:r>
            <w:r>
              <w:rPr>
                <w:rFonts w:hint="eastAsia" w:ascii="宋体" w:hAnsi="宋体" w:eastAsia="宋体" w:cs="宋体"/>
                <w:i w:val="0"/>
                <w:iCs w:val="0"/>
                <w:color w:val="auto"/>
                <w:kern w:val="0"/>
                <w:sz w:val="21"/>
                <w:szCs w:val="21"/>
                <w:u w:val="none"/>
                <w:lang w:val="en-US" w:eastAsia="zh-CN" w:bidi="ar"/>
              </w:rPr>
              <w:t>均包含服务人员费用（含工资、社保费、劳保、意外伤害保险、福利等）、办公费用（含通讯费、办公用品、培训费、维修费等）、洗涤设备、运输设备、装卸费、管理费、利润、税费等完成合同所需的一切本身和不可或缺的所有开支、政策性文件规定的合同包含的所有风险、责任等各项全部费用的总和（采购人不再向投标人支付其投标报价之外的任何费用）。</w:t>
            </w:r>
          </w:p>
        </w:tc>
      </w:tr>
      <w:tr w14:paraId="67373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283" w:type="pct"/>
            <w:tcBorders>
              <w:top w:val="single" w:color="000000" w:sz="4" w:space="0"/>
              <w:left w:val="single" w:color="000000" w:sz="4" w:space="0"/>
              <w:bottom w:val="single" w:color="000000" w:sz="4" w:space="0"/>
              <w:right w:val="single" w:color="000000" w:sz="4" w:space="0"/>
            </w:tcBorders>
            <w:noWrap/>
            <w:vAlign w:val="center"/>
          </w:tcPr>
          <w:p w14:paraId="16B426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7</w:t>
            </w:r>
          </w:p>
        </w:tc>
        <w:tc>
          <w:tcPr>
            <w:tcW w:w="865" w:type="pct"/>
            <w:gridSpan w:val="3"/>
            <w:tcBorders>
              <w:top w:val="single" w:color="000000" w:sz="4" w:space="0"/>
              <w:left w:val="single" w:color="000000" w:sz="4" w:space="0"/>
              <w:bottom w:val="single" w:color="000000" w:sz="4" w:space="0"/>
              <w:right w:val="single" w:color="auto" w:sz="4" w:space="0"/>
            </w:tcBorders>
            <w:noWrap/>
            <w:vAlign w:val="center"/>
          </w:tcPr>
          <w:p w14:paraId="12AC23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布草收送程序及要求</w:t>
            </w:r>
          </w:p>
        </w:tc>
        <w:tc>
          <w:tcPr>
            <w:tcW w:w="3850" w:type="pct"/>
            <w:tcBorders>
              <w:top w:val="single" w:color="000000" w:sz="4" w:space="0"/>
              <w:left w:val="single" w:color="auto" w:sz="4" w:space="0"/>
              <w:bottom w:val="single" w:color="000000" w:sz="4" w:space="0"/>
              <w:right w:val="single" w:color="000000" w:sz="4" w:space="0"/>
            </w:tcBorders>
            <w:noWrap/>
            <w:vAlign w:val="center"/>
          </w:tcPr>
          <w:p w14:paraId="37619B7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所有布草、衣物配备RFID追溯管理系统，对医院布草全生命周期进行追踪管理，实现洗涤过程、流转记录、质量监测等数据的实时查询与追溯。收取布草、衣物时，双方共同点清类别及数目，中标供应商应检查布草原有质地、颜色、污损情况等，填写布草破损确认单，双方责任人共同签字确认。</w:t>
            </w:r>
          </w:p>
          <w:p w14:paraId="08D6BD6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（2）中标供应商送还洗涤好的布草、衣物，经采购人验收检查，不合格的中标供应商必须无条件返工。验收完毕，双方责任人共同在验收交接单上签字确认。以验收单注明的类别及数目作为结算依据。</w:t>
            </w:r>
          </w:p>
          <w:p w14:paraId="72378D1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（3）布草运送必须有专用的设备进行分类专车专用，不得混用、混装、混运。</w:t>
            </w:r>
          </w:p>
          <w:p w14:paraId="18B222B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（4）</w:t>
            </w:r>
            <w:r>
              <w:rPr>
                <w:rFonts w:hint="eastAsia" w:ascii="宋体" w:hAnsi="宋体" w:eastAsia="宋体" w:cs="宋体"/>
                <w:i w:val="0"/>
                <w:iCs w:val="0"/>
                <w:color w:val="auto"/>
                <w:kern w:val="0"/>
                <w:sz w:val="21"/>
                <w:szCs w:val="21"/>
                <w:u w:val="none"/>
                <w:lang w:val="en-US" w:eastAsia="zh-CN" w:bidi="ar"/>
              </w:rPr>
              <w:t>洗涤服务公司派驻我院工作人员由公司统一着装。</w:t>
            </w:r>
          </w:p>
          <w:p w14:paraId="20F0EFC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color w:val="auto"/>
              </w:rPr>
            </w:pPr>
            <w:r>
              <w:rPr>
                <w:rFonts w:hint="eastAsia" w:ascii="宋体" w:hAnsi="宋体" w:eastAsia="宋体" w:cs="宋体"/>
                <w:i w:val="0"/>
                <w:iCs w:val="0"/>
                <w:color w:val="auto"/>
                <w:kern w:val="0"/>
                <w:sz w:val="21"/>
                <w:szCs w:val="21"/>
                <w:u w:val="none"/>
                <w:lang w:val="en-US" w:eastAsia="zh-CN" w:bidi="ar"/>
              </w:rPr>
              <w:t>（5）运送布草所有设备均由中标单位自行配备，投入的设备须符合院感要求，布草运送进行分类专车专用，不得混用、混装、混运。</w:t>
            </w:r>
          </w:p>
        </w:tc>
      </w:tr>
      <w:tr w14:paraId="57293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283" w:type="pct"/>
            <w:tcBorders>
              <w:top w:val="single" w:color="000000" w:sz="4" w:space="0"/>
              <w:left w:val="single" w:color="000000" w:sz="4" w:space="0"/>
              <w:bottom w:val="single" w:color="000000" w:sz="4" w:space="0"/>
              <w:right w:val="single" w:color="000000" w:sz="4" w:space="0"/>
            </w:tcBorders>
            <w:noWrap/>
            <w:vAlign w:val="center"/>
          </w:tcPr>
          <w:p w14:paraId="2A9ADA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8</w:t>
            </w:r>
          </w:p>
        </w:tc>
        <w:tc>
          <w:tcPr>
            <w:tcW w:w="865" w:type="pct"/>
            <w:gridSpan w:val="3"/>
            <w:tcBorders>
              <w:top w:val="single" w:color="000000" w:sz="4" w:space="0"/>
              <w:left w:val="single" w:color="000000" w:sz="4" w:space="0"/>
              <w:bottom w:val="single" w:color="000000" w:sz="4" w:space="0"/>
              <w:right w:val="single" w:color="auto" w:sz="4" w:space="0"/>
            </w:tcBorders>
            <w:noWrap/>
            <w:vAlign w:val="center"/>
          </w:tcPr>
          <w:p w14:paraId="32C6CD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违约责任</w:t>
            </w:r>
          </w:p>
        </w:tc>
        <w:tc>
          <w:tcPr>
            <w:tcW w:w="3850" w:type="pct"/>
            <w:tcBorders>
              <w:top w:val="single" w:color="000000" w:sz="4" w:space="0"/>
              <w:left w:val="single" w:color="auto" w:sz="4" w:space="0"/>
              <w:bottom w:val="single" w:color="000000" w:sz="4" w:space="0"/>
              <w:right w:val="single" w:color="000000" w:sz="4" w:space="0"/>
            </w:tcBorders>
            <w:noWrap/>
            <w:vAlign w:val="center"/>
          </w:tcPr>
          <w:p w14:paraId="60CCE57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（1）采购人交由中标供应商洗涤的布草，如发生洗涤质量、丢失及损坏事故，由中标供应商承担全部责任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按物品所标原价进行赔偿。</w:t>
            </w:r>
          </w:p>
          <w:p w14:paraId="2760237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（2）中标供应商洗涤成品经验收确认为不合格的，一律由中标供应商无条件返工，其间所有费用均由中标供应商负责。</w:t>
            </w:r>
          </w:p>
          <w:p w14:paraId="7AB9FE8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（3）发生洗涤质量与服务投诉时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乙方应予全面配合调查，按照甲方相关管理科室提出的整改要求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积极进行整改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不断提高洗涤质量和服务满意度。如发生严重质量与服务投诉，</w:t>
            </w:r>
            <w:r>
              <w:rPr>
                <w:rFonts w:hint="eastAsia" w:ascii="宋体" w:hAnsi="宋体" w:eastAsia="宋体" w:cs="宋体"/>
                <w:color w:val="auto"/>
                <w:sz w:val="21"/>
                <w:szCs w:val="21"/>
                <w:highlight w:val="none"/>
                <w:lang w:eastAsia="zh-CN"/>
              </w:rPr>
              <w:t>每次</w:t>
            </w:r>
            <w:r>
              <w:rPr>
                <w:rFonts w:hint="eastAsia" w:ascii="宋体" w:hAnsi="宋体" w:eastAsia="宋体" w:cs="宋体"/>
                <w:color w:val="auto"/>
                <w:sz w:val="21"/>
                <w:szCs w:val="21"/>
                <w:highlight w:val="none"/>
              </w:rPr>
              <w:t>经调查属实，采购人可单次扣除</w:t>
            </w:r>
            <w:r>
              <w:rPr>
                <w:rFonts w:hint="eastAsia" w:ascii="宋体" w:hAnsi="宋体" w:eastAsia="宋体" w:cs="宋体"/>
                <w:color w:val="auto"/>
                <w:sz w:val="21"/>
                <w:szCs w:val="21"/>
                <w:highlight w:val="none"/>
                <w:lang w:val="en-US" w:eastAsia="zh-CN"/>
              </w:rPr>
              <w:t>履约保证金</w:t>
            </w:r>
            <w:r>
              <w:rPr>
                <w:rFonts w:hint="eastAsia" w:ascii="宋体" w:hAnsi="宋体" w:eastAsia="宋体" w:cs="宋体"/>
                <w:color w:val="auto"/>
                <w:sz w:val="21"/>
                <w:szCs w:val="21"/>
                <w:highlight w:val="none"/>
              </w:rPr>
              <w:t>全额10%的罚款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从洗涤费中扣除</w:t>
            </w:r>
            <w:r>
              <w:rPr>
                <w:rFonts w:hint="eastAsia" w:ascii="宋体" w:hAnsi="宋体" w:eastAsia="宋体" w:cs="宋体"/>
                <w:color w:val="auto"/>
                <w:sz w:val="21"/>
                <w:szCs w:val="21"/>
                <w:highlight w:val="none"/>
              </w:rPr>
              <w:t>。</w:t>
            </w:r>
          </w:p>
          <w:p w14:paraId="3B75E13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（4）中标供应商必须如实提交洗涤物品的《交接单》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如发现虚报、重复计费等弄虚作假的行为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每次罚款壹万元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罚款从当月的洗涤费中扣除。</w:t>
            </w:r>
          </w:p>
          <w:p w14:paraId="0A740A0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（5）中标供应商必须在规定的时间内接送采购人需洗涤的物品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如有拖延情况</w:t>
            </w:r>
            <w:r>
              <w:rPr>
                <w:rFonts w:hint="eastAsia" w:ascii="宋体" w:hAnsi="宋体" w:eastAsia="宋体" w:cs="宋体"/>
                <w:color w:val="auto"/>
                <w:sz w:val="21"/>
                <w:szCs w:val="21"/>
                <w:highlight w:val="none"/>
                <w:lang w:eastAsia="zh-CN"/>
              </w:rPr>
              <w:t>，拖延</w:t>
            </w:r>
            <w:r>
              <w:rPr>
                <w:rFonts w:hint="eastAsia" w:ascii="宋体" w:hAnsi="宋体" w:eastAsia="宋体" w:cs="宋体"/>
                <w:color w:val="auto"/>
                <w:sz w:val="21"/>
                <w:szCs w:val="21"/>
                <w:highlight w:val="none"/>
                <w:lang w:val="en-US" w:eastAsia="zh-CN"/>
              </w:rPr>
              <w:t>5次以内予以警告，5次（含）以上或</w:t>
            </w:r>
            <w:r>
              <w:rPr>
                <w:rFonts w:hint="eastAsia" w:ascii="宋体" w:hAnsi="宋体" w:eastAsia="宋体" w:cs="宋体"/>
                <w:color w:val="auto"/>
                <w:sz w:val="21"/>
                <w:szCs w:val="21"/>
                <w:highlight w:val="none"/>
              </w:rPr>
              <w:t>严重影响到甲方工作的正常开展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采购人可以扣除10%的</w:t>
            </w:r>
            <w:r>
              <w:rPr>
                <w:rFonts w:hint="eastAsia" w:ascii="宋体" w:hAnsi="宋体" w:eastAsia="宋体" w:cs="宋体"/>
                <w:color w:val="auto"/>
                <w:sz w:val="21"/>
                <w:szCs w:val="21"/>
                <w:highlight w:val="none"/>
                <w:lang w:val="en-US" w:eastAsia="zh-CN"/>
              </w:rPr>
              <w:t>履约保证金</w:t>
            </w:r>
            <w:r>
              <w:rPr>
                <w:rFonts w:hint="eastAsia" w:ascii="宋体" w:hAnsi="宋体" w:eastAsia="宋体" w:cs="宋体"/>
                <w:color w:val="auto"/>
                <w:sz w:val="21"/>
                <w:szCs w:val="21"/>
                <w:highlight w:val="none"/>
              </w:rPr>
              <w:t>作为违约费用，</w:t>
            </w:r>
            <w:r>
              <w:rPr>
                <w:rFonts w:hint="eastAsia" w:ascii="宋体" w:hAnsi="宋体" w:eastAsia="宋体" w:cs="宋体"/>
                <w:color w:val="auto"/>
                <w:sz w:val="21"/>
                <w:szCs w:val="21"/>
                <w:highlight w:val="none"/>
                <w:lang w:val="en-US" w:eastAsia="zh-CN"/>
              </w:rPr>
              <w:t>从洗涤费中扣除。</w:t>
            </w:r>
            <w:r>
              <w:rPr>
                <w:rFonts w:hint="eastAsia" w:ascii="宋体" w:hAnsi="宋体" w:eastAsia="宋体" w:cs="宋体"/>
                <w:color w:val="auto"/>
                <w:sz w:val="21"/>
                <w:szCs w:val="21"/>
                <w:highlight w:val="none"/>
              </w:rPr>
              <w:t>被扣超过5次的，采购人有权单方解除与中标供应商的合作关系。</w:t>
            </w:r>
          </w:p>
        </w:tc>
      </w:tr>
      <w:tr w14:paraId="3C35F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283" w:type="pct"/>
            <w:tcBorders>
              <w:top w:val="single" w:color="000000" w:sz="4" w:space="0"/>
              <w:left w:val="single" w:color="000000" w:sz="4" w:space="0"/>
              <w:bottom w:val="single" w:color="000000" w:sz="4" w:space="0"/>
              <w:right w:val="single" w:color="000000" w:sz="4" w:space="0"/>
            </w:tcBorders>
            <w:noWrap/>
            <w:vAlign w:val="center"/>
          </w:tcPr>
          <w:p w14:paraId="5FD7C0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9</w:t>
            </w:r>
          </w:p>
        </w:tc>
        <w:tc>
          <w:tcPr>
            <w:tcW w:w="865" w:type="pct"/>
            <w:gridSpan w:val="3"/>
            <w:tcBorders>
              <w:top w:val="single" w:color="000000" w:sz="4" w:space="0"/>
              <w:left w:val="single" w:color="000000" w:sz="4" w:space="0"/>
              <w:bottom w:val="single" w:color="000000" w:sz="4" w:space="0"/>
              <w:right w:val="single" w:color="auto" w:sz="4" w:space="0"/>
            </w:tcBorders>
            <w:shd w:val="clear" w:color="auto" w:fill="auto"/>
            <w:noWrap/>
            <w:vAlign w:val="center"/>
          </w:tcPr>
          <w:p w14:paraId="1BA070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u w:val="none"/>
                <w:lang w:val="en-US" w:eastAsia="zh-CN" w:bidi="ar"/>
              </w:rPr>
              <w:t>验收方式</w:t>
            </w:r>
          </w:p>
        </w:tc>
        <w:tc>
          <w:tcPr>
            <w:tcW w:w="3850"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1D7BB4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1.初步验收：</w:t>
            </w:r>
          </w:p>
          <w:p w14:paraId="57EC845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（1）采购人与中标供应商双方共同对送还的洗涤成品进行检查。检查内容为布草类别、数量及洗涤质量（按服务参数执行）。</w:t>
            </w:r>
          </w:p>
          <w:p w14:paraId="5328AB6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（2）采购人根据验收实际情况填写布草验收交接单，双方共同签字确认。</w:t>
            </w:r>
          </w:p>
          <w:p w14:paraId="1EEA87E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（3）验收检查中确认洗涤质量不合格的由中标供应商无条件收回返工，如检查不合格，造成医院无法正常运行的，应由供应商负责赔偿。</w:t>
            </w:r>
          </w:p>
          <w:p w14:paraId="2E5A736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2.使用部门验收：使用部门在使用过程中发现洗涤质量不合格由中标供应商无条件收回返工，如检查不合格，造成医院无法正常运行的，应由供应商负责赔偿。</w:t>
            </w:r>
          </w:p>
          <w:p w14:paraId="58A588D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u w:val="none"/>
                <w:lang w:val="en-US" w:eastAsia="zh-CN" w:bidi="ar"/>
              </w:rPr>
              <w:t>3.月度验收：每月对布草洗涤质量进行满意度测评（详见附件三：广西医科大学附属武鸣医院洗涤工作质量考核表）。</w:t>
            </w:r>
          </w:p>
        </w:tc>
      </w:tr>
      <w:tr w14:paraId="072DB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6AE74B58">
            <w:pPr>
              <w:keepNext w:val="0"/>
              <w:keepLines w:val="0"/>
              <w:pageBreakBefore w:val="0"/>
              <w:widowControl/>
              <w:shd w:val="clear"/>
              <w:tabs>
                <w:tab w:val="left" w:pos="1410"/>
              </w:tabs>
              <w:kinsoku/>
              <w:wordWrap/>
              <w:overflowPunct/>
              <w:topLinePunct w:val="0"/>
              <w:autoSpaceDE/>
              <w:autoSpaceDN/>
              <w:bidi w:val="0"/>
              <w:adjustRightInd/>
              <w:snapToGrid/>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其他要求</w:t>
            </w:r>
          </w:p>
        </w:tc>
      </w:tr>
      <w:tr w14:paraId="53C84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jc w:val="center"/>
        </w:trPr>
        <w:tc>
          <w:tcPr>
            <w:tcW w:w="727" w:type="pct"/>
            <w:gridSpan w:val="3"/>
            <w:tcBorders>
              <w:top w:val="single" w:color="000000" w:sz="4" w:space="0"/>
              <w:left w:val="single" w:color="000000" w:sz="4" w:space="0"/>
              <w:bottom w:val="single" w:color="000000" w:sz="4" w:space="0"/>
              <w:right w:val="single" w:color="000000" w:sz="4" w:space="0"/>
            </w:tcBorders>
            <w:noWrap/>
            <w:vAlign w:val="center"/>
          </w:tcPr>
          <w:p w14:paraId="456DF6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cs="宋体"/>
                <w:i w:val="0"/>
                <w:iCs w:val="0"/>
                <w:color w:val="auto"/>
                <w:kern w:val="0"/>
                <w:sz w:val="21"/>
                <w:szCs w:val="21"/>
                <w:u w:val="none"/>
                <w:lang w:val="en-US" w:eastAsia="zh-CN" w:bidi="ar"/>
              </w:rPr>
              <w:t>1</w:t>
            </w:r>
          </w:p>
        </w:tc>
        <w:tc>
          <w:tcPr>
            <w:tcW w:w="4272" w:type="pct"/>
            <w:gridSpan w:val="2"/>
            <w:tcBorders>
              <w:top w:val="single" w:color="000000" w:sz="4" w:space="0"/>
              <w:left w:val="single" w:color="000000" w:sz="4" w:space="0"/>
              <w:bottom w:val="single" w:color="000000" w:sz="4" w:space="0"/>
              <w:right w:val="single" w:color="000000" w:sz="4" w:space="0"/>
            </w:tcBorders>
            <w:noWrap/>
            <w:vAlign w:val="center"/>
          </w:tcPr>
          <w:p w14:paraId="236814F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供应商提供</w:t>
            </w:r>
            <w:r>
              <w:rPr>
                <w:rFonts w:hint="eastAsia" w:ascii="宋体" w:hAnsi="宋体" w:cs="宋体"/>
                <w:i w:val="0"/>
                <w:iCs w:val="0"/>
                <w:color w:val="auto"/>
                <w:kern w:val="0"/>
                <w:sz w:val="21"/>
                <w:szCs w:val="21"/>
                <w:u w:val="none"/>
                <w:lang w:val="en-US" w:eastAsia="zh-CN" w:bidi="ar"/>
              </w:rPr>
              <w:t>服务</w:t>
            </w:r>
            <w:r>
              <w:rPr>
                <w:rFonts w:hint="eastAsia" w:ascii="宋体" w:hAnsi="宋体" w:eastAsia="宋体" w:cs="宋体"/>
                <w:i w:val="0"/>
                <w:iCs w:val="0"/>
                <w:color w:val="auto"/>
                <w:kern w:val="0"/>
                <w:sz w:val="21"/>
                <w:szCs w:val="21"/>
                <w:u w:val="none"/>
                <w:lang w:val="en-US" w:eastAsia="zh-CN" w:bidi="ar"/>
              </w:rPr>
              <w:t>，不得包含任何侵犯第三者知识产权的</w:t>
            </w:r>
            <w:r>
              <w:rPr>
                <w:rFonts w:hint="eastAsia" w:ascii="宋体" w:hAnsi="宋体" w:cs="宋体"/>
                <w:i w:val="0"/>
                <w:iCs w:val="0"/>
                <w:color w:val="auto"/>
                <w:kern w:val="0"/>
                <w:sz w:val="21"/>
                <w:szCs w:val="21"/>
                <w:u w:val="none"/>
                <w:lang w:val="en-US" w:eastAsia="zh-CN" w:bidi="ar"/>
              </w:rPr>
              <w:t>行为</w:t>
            </w:r>
            <w:r>
              <w:rPr>
                <w:rFonts w:hint="eastAsia" w:ascii="宋体" w:hAnsi="宋体" w:eastAsia="宋体" w:cs="宋体"/>
                <w:i w:val="0"/>
                <w:iCs w:val="0"/>
                <w:color w:val="auto"/>
                <w:kern w:val="0"/>
                <w:sz w:val="21"/>
                <w:szCs w:val="21"/>
                <w:u w:val="none"/>
                <w:lang w:val="en-US" w:eastAsia="zh-CN" w:bidi="ar"/>
              </w:rPr>
              <w:t>。如发生侵权行为，供应商必须自行为其提供产品或服务侵犯其他专利人的专利成果承担相应法律责任，如因侵犯他人专利权造成采购人损失的，还应赔偿采购人损失。</w:t>
            </w:r>
          </w:p>
        </w:tc>
      </w:tr>
      <w:tr w14:paraId="46289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jc w:val="center"/>
        </w:trPr>
        <w:tc>
          <w:tcPr>
            <w:tcW w:w="727" w:type="pct"/>
            <w:gridSpan w:val="3"/>
            <w:tcBorders>
              <w:top w:val="single" w:color="000000" w:sz="4" w:space="0"/>
              <w:left w:val="single" w:color="000000" w:sz="4" w:space="0"/>
              <w:bottom w:val="single" w:color="000000" w:sz="4" w:space="0"/>
              <w:right w:val="single" w:color="000000" w:sz="4" w:space="0"/>
            </w:tcBorders>
            <w:noWrap/>
            <w:vAlign w:val="center"/>
          </w:tcPr>
          <w:p w14:paraId="4CD45C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w:t>
            </w:r>
          </w:p>
        </w:tc>
        <w:tc>
          <w:tcPr>
            <w:tcW w:w="4272" w:type="pct"/>
            <w:gridSpan w:val="2"/>
            <w:tcBorders>
              <w:top w:val="single" w:color="000000" w:sz="4" w:space="0"/>
              <w:left w:val="single" w:color="000000" w:sz="4" w:space="0"/>
              <w:bottom w:val="single" w:color="000000" w:sz="4" w:space="0"/>
              <w:right w:val="single" w:color="000000" w:sz="4" w:space="0"/>
            </w:tcBorders>
            <w:noWrap/>
            <w:vAlign w:val="center"/>
          </w:tcPr>
          <w:p w14:paraId="3D18DD2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color w:val="auto"/>
                <w:highlight w:val="none"/>
                <w:lang w:val="en-US" w:eastAsia="zh-CN"/>
              </w:rPr>
              <w:t>对洗涤服务的其他要求：医务人员的服装不得与患者服、床单的布草同放或同洗（须符合院感要求）。</w:t>
            </w:r>
          </w:p>
        </w:tc>
      </w:tr>
    </w:tbl>
    <w:p w14:paraId="3FB4FC2B">
      <w:pPr>
        <w:shd w:val="clear"/>
        <w:rPr>
          <w:rFonts w:hint="eastAsia" w:ascii="宋体" w:hAnsi="宋体" w:cs="宋体"/>
          <w:b/>
          <w:bCs/>
          <w:color w:val="auto"/>
          <w:sz w:val="24"/>
          <w:highlight w:val="none"/>
        </w:rPr>
      </w:pPr>
    </w:p>
    <w:p w14:paraId="07390E8E">
      <w:pP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15D3047D">
      <w:pPr>
        <w:keepNext w:val="0"/>
        <w:keepLines w:val="0"/>
        <w:pageBreakBefore w:val="0"/>
        <w:widowControl w:val="0"/>
        <w:kinsoku/>
        <w:wordWrap/>
        <w:overflowPunct/>
        <w:topLinePunct w:val="0"/>
        <w:autoSpaceDE/>
        <w:autoSpaceDN/>
        <w:bidi w:val="0"/>
        <w:adjustRightInd/>
        <w:snapToGrid/>
        <w:spacing w:before="139" w:line="560" w:lineRule="exact"/>
        <w:jc w:val="left"/>
        <w:textAlignment w:val="auto"/>
        <w:rPr>
          <w:rFonts w:hint="eastAsia" w:ascii="宋体" w:hAnsi="宋体" w:eastAsia="宋体" w:cs="宋体"/>
          <w:b/>
          <w:bCs/>
          <w:color w:val="auto"/>
          <w:spacing w:val="-2"/>
          <w:sz w:val="32"/>
          <w:szCs w:val="32"/>
          <w:highlight w:val="none"/>
          <w:lang w:eastAsia="zh-CN"/>
        </w:rPr>
      </w:pPr>
      <w:r>
        <w:rPr>
          <w:rFonts w:hint="eastAsia" w:ascii="宋体" w:hAnsi="宋体" w:eastAsia="宋体" w:cs="宋体"/>
          <w:b/>
          <w:bCs/>
          <w:color w:val="auto"/>
          <w:spacing w:val="-2"/>
          <w:sz w:val="32"/>
          <w:szCs w:val="32"/>
          <w:highlight w:val="none"/>
          <w:lang w:eastAsia="zh-CN"/>
        </w:rPr>
        <w:t>附件一：</w:t>
      </w:r>
    </w:p>
    <w:p w14:paraId="089895E5">
      <w:pPr>
        <w:keepNext w:val="0"/>
        <w:keepLines w:val="0"/>
        <w:pageBreakBefore w:val="0"/>
        <w:widowControl w:val="0"/>
        <w:kinsoku/>
        <w:wordWrap/>
        <w:overflowPunct/>
        <w:topLinePunct w:val="0"/>
        <w:autoSpaceDE/>
        <w:autoSpaceDN/>
        <w:bidi w:val="0"/>
        <w:adjustRightInd/>
        <w:snapToGrid/>
        <w:spacing w:before="139" w:line="560" w:lineRule="exact"/>
        <w:jc w:val="center"/>
        <w:textAlignment w:val="auto"/>
        <w:rPr>
          <w:rFonts w:hint="eastAsia" w:ascii="宋体" w:hAnsi="宋体" w:eastAsia="宋体" w:cs="宋体"/>
          <w:b/>
          <w:bCs/>
          <w:color w:val="auto"/>
          <w:spacing w:val="-2"/>
          <w:sz w:val="32"/>
          <w:szCs w:val="32"/>
          <w:highlight w:val="none"/>
          <w:lang w:eastAsia="zh-CN"/>
        </w:rPr>
      </w:pPr>
      <w:r>
        <w:rPr>
          <w:rFonts w:hint="eastAsia" w:ascii="宋体" w:hAnsi="宋体" w:eastAsia="宋体" w:cs="宋体"/>
          <w:b/>
          <w:bCs/>
          <w:color w:val="auto"/>
          <w:spacing w:val="-2"/>
          <w:sz w:val="32"/>
          <w:szCs w:val="32"/>
          <w:highlight w:val="none"/>
          <w:lang w:eastAsia="zh-CN"/>
        </w:rPr>
        <w:t>广西医科大学附属武鸣医院被服、布草等洗涤服务采购项目</w:t>
      </w:r>
    </w:p>
    <w:p w14:paraId="4CFD2D06">
      <w:pPr>
        <w:keepNext w:val="0"/>
        <w:keepLines w:val="0"/>
        <w:pageBreakBefore w:val="0"/>
        <w:widowControl w:val="0"/>
        <w:kinsoku/>
        <w:wordWrap/>
        <w:overflowPunct/>
        <w:topLinePunct w:val="0"/>
        <w:autoSpaceDE/>
        <w:autoSpaceDN/>
        <w:bidi w:val="0"/>
        <w:adjustRightInd/>
        <w:snapToGrid/>
        <w:spacing w:before="139" w:line="560" w:lineRule="exact"/>
        <w:jc w:val="center"/>
        <w:textAlignment w:val="auto"/>
        <w:rPr>
          <w:rFonts w:hint="eastAsia" w:ascii="宋体" w:hAnsi="宋体" w:eastAsia="宋体" w:cs="宋体"/>
          <w:b/>
          <w:bCs/>
          <w:color w:val="auto"/>
          <w:spacing w:val="-2"/>
          <w:sz w:val="32"/>
          <w:szCs w:val="32"/>
          <w:highlight w:val="none"/>
          <w:lang w:eastAsia="zh-CN"/>
        </w:rPr>
      </w:pPr>
      <w:r>
        <w:rPr>
          <w:rFonts w:hint="eastAsia" w:ascii="宋体" w:hAnsi="宋体" w:eastAsia="宋体" w:cs="宋体"/>
          <w:b/>
          <w:bCs/>
          <w:color w:val="auto"/>
          <w:spacing w:val="-2"/>
          <w:sz w:val="32"/>
          <w:szCs w:val="32"/>
          <w:highlight w:val="none"/>
          <w:lang w:eastAsia="zh-CN"/>
        </w:rPr>
        <w:t>服务需求一览表</w:t>
      </w:r>
    </w:p>
    <w:tbl>
      <w:tblPr>
        <w:tblStyle w:val="48"/>
        <w:tblW w:w="477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1"/>
        <w:gridCol w:w="2806"/>
        <w:gridCol w:w="2055"/>
        <w:gridCol w:w="1485"/>
        <w:gridCol w:w="2385"/>
      </w:tblGrid>
      <w:tr w14:paraId="0142E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3CC74">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序号</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CE673">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名称</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11CDD">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规格</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F1FA5">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单位</w:t>
            </w:r>
          </w:p>
        </w:tc>
        <w:tc>
          <w:tcPr>
            <w:tcW w:w="1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40409">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上控单价(元）</w:t>
            </w:r>
          </w:p>
        </w:tc>
      </w:tr>
      <w:tr w14:paraId="0761D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1AB6C">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B51C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床隔帘2.2米以上</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1AC7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280cm*480cm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A567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床</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102FEF2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1.8</w:t>
            </w:r>
          </w:p>
        </w:tc>
      </w:tr>
      <w:tr w14:paraId="64B70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F2017">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718B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床隔帘2.2米以下</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77CC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220cm*180cm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BEC8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6D651B3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1.8</w:t>
            </w:r>
          </w:p>
        </w:tc>
      </w:tr>
      <w:tr w14:paraId="5FE5E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C0F2D">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1303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毛毯</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8597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150cm*200cm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3FA7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7F8BA26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2.5</w:t>
            </w:r>
          </w:p>
        </w:tc>
      </w:tr>
      <w:tr w14:paraId="6C5A1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C79E0">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42EA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空调被</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68A5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190cm*150cm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FAC8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7A3892B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2.5</w:t>
            </w:r>
          </w:p>
        </w:tc>
      </w:tr>
      <w:tr w14:paraId="7CD4C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2B748">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5</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082A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被套</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CA5E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180 cm *230 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2EF0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床</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7657199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2.19</w:t>
            </w:r>
          </w:p>
        </w:tc>
      </w:tr>
      <w:tr w14:paraId="5A0CA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ED4DD">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6</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AF72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床单</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43D9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180 cm *280 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F27D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68A47C2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1.65</w:t>
            </w:r>
          </w:p>
        </w:tc>
      </w:tr>
      <w:tr w14:paraId="71827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63A7D">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7</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2E57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床罩</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857F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150 cm *180 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A54E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床</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1B8A808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1.65</w:t>
            </w:r>
          </w:p>
        </w:tc>
      </w:tr>
      <w:tr w14:paraId="6D47B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159F4">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8</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9974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病号中单</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4298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90 cm *160 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79DA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542C61A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1.09</w:t>
            </w:r>
          </w:p>
        </w:tc>
      </w:tr>
      <w:tr w14:paraId="694FD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0459A">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9</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BE65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蚊帐</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352A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120 cm *200 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2979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545ACFD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1.4</w:t>
            </w:r>
          </w:p>
        </w:tc>
      </w:tr>
      <w:tr w14:paraId="74830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2C231">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10</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B7A7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白大褂</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7216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大中小码</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1C7B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件</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2C070B1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1.75</w:t>
            </w:r>
          </w:p>
        </w:tc>
      </w:tr>
      <w:tr w14:paraId="7CAFF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BE6C9">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11</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3AEA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医务、后勤衣、裤</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3426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大中小码</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3A6F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件</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6314608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1.65</w:t>
            </w:r>
          </w:p>
        </w:tc>
      </w:tr>
      <w:tr w14:paraId="4C623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714C2">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12</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C15A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病号衣裤、洗手衣裤</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E492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大中小码</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B251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件</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23FC710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1.37</w:t>
            </w:r>
          </w:p>
        </w:tc>
      </w:tr>
      <w:tr w14:paraId="5DD9E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F9BC3">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13</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8E8C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枕套</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0795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50 cm *70 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4D3C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6E9DF27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0.7</w:t>
            </w:r>
          </w:p>
        </w:tc>
      </w:tr>
      <w:tr w14:paraId="15E97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D0B35">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14</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F9B5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理疗巾</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2B43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40 cm *75 cm 50cm*40cm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4520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6B87472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0.7</w:t>
            </w:r>
          </w:p>
        </w:tc>
      </w:tr>
      <w:tr w14:paraId="38253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B0BEF">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15</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099B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枕巾</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A5D5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40 cm *70 cm 68cm*30cm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7CA2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对</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14FA431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0.59</w:t>
            </w:r>
          </w:p>
        </w:tc>
      </w:tr>
      <w:tr w14:paraId="41D61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BABD9">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16</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48C6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口水袋</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8595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45cm *45 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2F04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7761068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0.59</w:t>
            </w:r>
          </w:p>
        </w:tc>
      </w:tr>
      <w:tr w14:paraId="19886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9CBED">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17</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8FF3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椅子套</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AA1D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常规</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7782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24E988A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r>
      <w:tr w14:paraId="1879C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D363C">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18</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0664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小被套</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AF4E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45 cm *50 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425A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15D2F44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r>
      <w:tr w14:paraId="184E1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E33ED">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19</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8230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小床罩</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50EC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45 cm *50 cm *50 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E306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092686D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r>
      <w:tr w14:paraId="74733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F5D55">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20</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4F1B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婴儿毛巾被</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F9FB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90 cm *100 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24CE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201127C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r>
      <w:tr w14:paraId="66446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D524C">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21</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298F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新生儿小床单</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7AB1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60cm*90cm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2E3A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6B48EF3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r>
      <w:tr w14:paraId="554FE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F5F8E">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22</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5D93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手术方巾</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981D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85cm *85 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BFD0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7AEF0F8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0.96</w:t>
            </w:r>
          </w:p>
        </w:tc>
      </w:tr>
      <w:tr w14:paraId="77336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B4977">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23</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EECC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新型包布</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486A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120cm*120cm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AA66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728BCC9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0.96</w:t>
            </w:r>
          </w:p>
        </w:tc>
      </w:tr>
      <w:tr w14:paraId="2ECAC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92182">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24</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280F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手术内包布</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12B0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145 cm *145 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B303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7453FE3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1.19</w:t>
            </w:r>
          </w:p>
        </w:tc>
      </w:tr>
      <w:tr w14:paraId="0D8B7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06020">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25</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1B02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内层包布</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3B34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120cm*140cm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C833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7510F65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1.19</w:t>
            </w:r>
          </w:p>
        </w:tc>
      </w:tr>
      <w:tr w14:paraId="63253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E99B3">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26</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C360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内层包布/新型包布</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5F75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140cm*180cm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691D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0E9BFAA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1.19</w:t>
            </w:r>
          </w:p>
        </w:tc>
      </w:tr>
      <w:tr w14:paraId="73E55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888AF">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27</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4642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软担架</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72E9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70 cm *150 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8581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床</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64627F7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1.19</w:t>
            </w:r>
          </w:p>
        </w:tc>
      </w:tr>
      <w:tr w14:paraId="3FF3C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16976">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28</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FF68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新生儿B超、手术小毛巾</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AAB7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25cm *25 cm</w:t>
            </w:r>
          </w:p>
        </w:tc>
        <w:tc>
          <w:tcPr>
            <w:tcW w:w="783" w:type="pct"/>
            <w:tcBorders>
              <w:top w:val="single" w:color="000000" w:sz="4" w:space="0"/>
              <w:left w:val="single" w:color="000000" w:sz="4" w:space="0"/>
              <w:bottom w:val="single" w:color="000000" w:sz="4" w:space="0"/>
              <w:right w:val="single" w:color="auto" w:sz="4" w:space="0"/>
            </w:tcBorders>
            <w:shd w:val="clear" w:color="auto" w:fill="auto"/>
            <w:vAlign w:val="center"/>
          </w:tcPr>
          <w:p w14:paraId="583C89B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auto" w:sz="4" w:space="0"/>
              <w:bottom w:val="single" w:color="000000" w:sz="8" w:space="0"/>
              <w:right w:val="single" w:color="auto" w:sz="4" w:space="0"/>
            </w:tcBorders>
            <w:shd w:val="clear" w:color="auto" w:fill="auto"/>
            <w:vAlign w:val="center"/>
          </w:tcPr>
          <w:p w14:paraId="54B1C41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0.1</w:t>
            </w:r>
          </w:p>
        </w:tc>
      </w:tr>
      <w:tr w14:paraId="4FC75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AE25D">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29</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D215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手术中单</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A16F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150 cm *180 cm</w:t>
            </w:r>
          </w:p>
        </w:tc>
        <w:tc>
          <w:tcPr>
            <w:tcW w:w="783" w:type="pct"/>
            <w:tcBorders>
              <w:top w:val="single" w:color="000000" w:sz="4" w:space="0"/>
              <w:left w:val="single" w:color="000000" w:sz="4" w:space="0"/>
              <w:bottom w:val="single" w:color="000000" w:sz="4" w:space="0"/>
              <w:right w:val="single" w:color="auto" w:sz="4" w:space="0"/>
            </w:tcBorders>
            <w:shd w:val="clear" w:color="auto" w:fill="auto"/>
            <w:vAlign w:val="center"/>
          </w:tcPr>
          <w:p w14:paraId="0F578F3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auto" w:sz="4" w:space="0"/>
              <w:bottom w:val="single" w:color="000000" w:sz="8" w:space="0"/>
              <w:right w:val="single" w:color="auto" w:sz="4" w:space="0"/>
            </w:tcBorders>
            <w:shd w:val="clear" w:color="auto" w:fill="auto"/>
            <w:vAlign w:val="center"/>
          </w:tcPr>
          <w:p w14:paraId="79D9398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1.09</w:t>
            </w:r>
          </w:p>
        </w:tc>
      </w:tr>
      <w:tr w14:paraId="04A5C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5A2DB">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30</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546B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枕芯</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FCB8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常规（60 cm *40 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B8D3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0FBA069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1.98</w:t>
            </w:r>
          </w:p>
        </w:tc>
      </w:tr>
      <w:tr w14:paraId="15D90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3ED85">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31</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F5E2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婴儿衣</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03CE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定制</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2F7E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件</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70D1C21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0.69</w:t>
            </w:r>
          </w:p>
        </w:tc>
      </w:tr>
      <w:tr w14:paraId="5C8F0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026A8">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32</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C008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脚套</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80F8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50 cm *85 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6DBF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双</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6CE8791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0.5</w:t>
            </w:r>
          </w:p>
        </w:tc>
      </w:tr>
      <w:tr w14:paraId="5B282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42B5F">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33</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6DC5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过床台布</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77AE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50cm *50cm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B070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床</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351FB07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1.5</w:t>
            </w:r>
          </w:p>
        </w:tc>
      </w:tr>
      <w:tr w14:paraId="7CAA1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87F47">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34</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2334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约束带</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BB33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上肢210cm*10cm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下肢250cm*20cm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2F59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条</w:t>
            </w:r>
          </w:p>
        </w:tc>
        <w:tc>
          <w:tcPr>
            <w:tcW w:w="1257" w:type="pct"/>
            <w:tcBorders>
              <w:top w:val="nil"/>
              <w:left w:val="single" w:color="000000" w:sz="8" w:space="0"/>
              <w:bottom w:val="single" w:color="000000" w:sz="8" w:space="0"/>
              <w:right w:val="single" w:color="auto" w:sz="4" w:space="0"/>
            </w:tcBorders>
            <w:shd w:val="clear" w:color="auto" w:fill="auto"/>
            <w:vAlign w:val="center"/>
          </w:tcPr>
          <w:p w14:paraId="4B227EC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0.25</w:t>
            </w:r>
          </w:p>
        </w:tc>
      </w:tr>
      <w:tr w14:paraId="73B0E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25340">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35</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3D38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胸复带</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9B2A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 cm *150 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040B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auto" w:sz="4" w:space="0"/>
            </w:tcBorders>
            <w:shd w:val="clear" w:color="auto" w:fill="auto"/>
            <w:vAlign w:val="center"/>
          </w:tcPr>
          <w:p w14:paraId="4048138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0.25</w:t>
            </w:r>
          </w:p>
        </w:tc>
      </w:tr>
      <w:tr w14:paraId="5F0B3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1186C">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36</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BFED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帽子</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6B46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常 规</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4ADC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顶</w:t>
            </w:r>
          </w:p>
        </w:tc>
        <w:tc>
          <w:tcPr>
            <w:tcW w:w="1257" w:type="pct"/>
            <w:tcBorders>
              <w:top w:val="nil"/>
              <w:left w:val="single" w:color="000000" w:sz="8" w:space="0"/>
              <w:bottom w:val="single" w:color="000000" w:sz="8" w:space="0"/>
              <w:right w:val="single" w:color="auto" w:sz="4" w:space="0"/>
            </w:tcBorders>
            <w:shd w:val="clear" w:color="auto" w:fill="auto"/>
            <w:vAlign w:val="center"/>
          </w:tcPr>
          <w:p w14:paraId="29D32E7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0.25</w:t>
            </w:r>
          </w:p>
        </w:tc>
      </w:tr>
      <w:tr w14:paraId="6FC1F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F0A15">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37</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CDBD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毛巾</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FF73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35 cm *70 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59CE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auto" w:sz="4" w:space="0"/>
            </w:tcBorders>
            <w:shd w:val="clear" w:color="auto" w:fill="auto"/>
            <w:vAlign w:val="center"/>
          </w:tcPr>
          <w:p w14:paraId="7C2EF3E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0.25</w:t>
            </w:r>
          </w:p>
        </w:tc>
      </w:tr>
      <w:tr w14:paraId="1B3AE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483A5">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38</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F76B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长毛巾</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E121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35cm*76cm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CED4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auto" w:sz="4" w:space="0"/>
            </w:tcBorders>
            <w:shd w:val="clear" w:color="auto" w:fill="auto"/>
            <w:vAlign w:val="center"/>
          </w:tcPr>
          <w:p w14:paraId="66CB452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0.25</w:t>
            </w:r>
          </w:p>
        </w:tc>
      </w:tr>
      <w:tr w14:paraId="10162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FF271">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39</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FDFC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手套</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1EC1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20cm*15cm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2E0E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双</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792D875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0.5</w:t>
            </w:r>
          </w:p>
        </w:tc>
      </w:tr>
      <w:tr w14:paraId="6B76D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50CB5">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40</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4083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检查孔</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BE22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160cm*170cm*2 90cm*110cm*2</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C65A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auto" w:sz="4" w:space="0"/>
            </w:tcBorders>
            <w:shd w:val="clear" w:color="auto" w:fill="auto"/>
            <w:vAlign w:val="center"/>
          </w:tcPr>
          <w:p w14:paraId="081213C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1.23</w:t>
            </w:r>
          </w:p>
        </w:tc>
      </w:tr>
      <w:tr w14:paraId="521DF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1E888">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41</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7266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胶床罩</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2703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70cm*180cm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640B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auto" w:sz="4" w:space="0"/>
            </w:tcBorders>
            <w:shd w:val="clear" w:color="auto" w:fill="auto"/>
            <w:vAlign w:val="center"/>
          </w:tcPr>
          <w:p w14:paraId="45E3405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1.23</w:t>
            </w:r>
          </w:p>
        </w:tc>
      </w:tr>
      <w:tr w14:paraId="1C8D1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A8AFD">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42</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CFC6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手术大孔布</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A5A0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410cm *210cm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F0EB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auto" w:sz="4" w:space="0"/>
            </w:tcBorders>
            <w:shd w:val="clear" w:color="auto" w:fill="auto"/>
            <w:vAlign w:val="center"/>
          </w:tcPr>
          <w:p w14:paraId="22081E7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w:t>
            </w:r>
          </w:p>
        </w:tc>
      </w:tr>
      <w:tr w14:paraId="75B3A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A764A">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43</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14AB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大单</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84B2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180 cm *270 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3191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auto" w:sz="4" w:space="0"/>
            </w:tcBorders>
            <w:shd w:val="clear" w:color="auto" w:fill="auto"/>
            <w:vAlign w:val="center"/>
          </w:tcPr>
          <w:p w14:paraId="640106C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w:t>
            </w:r>
          </w:p>
        </w:tc>
      </w:tr>
      <w:tr w14:paraId="4114A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3741C">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44</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F202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中孔</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9703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85 cm *145cm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91B4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auto" w:sz="4" w:space="0"/>
            </w:tcBorders>
            <w:shd w:val="clear" w:color="auto" w:fill="auto"/>
            <w:vAlign w:val="center"/>
          </w:tcPr>
          <w:p w14:paraId="6606650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1.23</w:t>
            </w:r>
          </w:p>
        </w:tc>
      </w:tr>
      <w:tr w14:paraId="29FB8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1C16B">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45</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F3A9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手术大包布</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B73B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180 cm *200 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ACDA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auto" w:sz="4" w:space="0"/>
            </w:tcBorders>
            <w:shd w:val="clear" w:color="auto" w:fill="auto"/>
            <w:vAlign w:val="center"/>
          </w:tcPr>
          <w:p w14:paraId="7121E92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1.23</w:t>
            </w:r>
          </w:p>
        </w:tc>
      </w:tr>
      <w:tr w14:paraId="132B4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46CDB">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46</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DA11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中/小包布</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D0C2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135cm *145cm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B12D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7310747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1.19</w:t>
            </w:r>
          </w:p>
        </w:tc>
      </w:tr>
      <w:tr w14:paraId="1DB46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7AC15">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47</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A36F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供应各科室包布</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DD2D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125 cm *145 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2D94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26CB7DE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1.19</w:t>
            </w:r>
          </w:p>
        </w:tc>
      </w:tr>
      <w:tr w14:paraId="56F02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A352D">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48</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8337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内层包布/新型包布</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0891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150cm*180cm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90F3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2D22BA6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1.19</w:t>
            </w:r>
          </w:p>
        </w:tc>
      </w:tr>
      <w:tr w14:paraId="024B7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CFA40">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49</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4695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眼孔</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4024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45cm*70cm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FB9E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7F65631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1.19</w:t>
            </w:r>
          </w:p>
        </w:tc>
      </w:tr>
      <w:tr w14:paraId="5409C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FB03E">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50</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BFF3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护栏杆</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244F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150cm*70cm</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1152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14BEED0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1.78</w:t>
            </w:r>
          </w:p>
        </w:tc>
      </w:tr>
      <w:tr w14:paraId="00388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4DFD3">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51</w:t>
            </w:r>
          </w:p>
        </w:tc>
        <w:tc>
          <w:tcPr>
            <w:tcW w:w="1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4D1F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三角巾</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84AC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常规</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844D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1257" w:type="pct"/>
            <w:tcBorders>
              <w:top w:val="nil"/>
              <w:left w:val="single" w:color="000000" w:sz="8" w:space="0"/>
              <w:bottom w:val="single" w:color="000000" w:sz="8" w:space="0"/>
              <w:right w:val="single" w:color="000000" w:sz="8" w:space="0"/>
            </w:tcBorders>
            <w:shd w:val="clear" w:color="auto" w:fill="auto"/>
            <w:vAlign w:val="center"/>
          </w:tcPr>
          <w:p w14:paraId="5C0AF6B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0.5</w:t>
            </w:r>
          </w:p>
        </w:tc>
      </w:tr>
      <w:tr w14:paraId="7C0BC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000000" w:sz="4" w:space="0"/>
              <w:left w:val="single" w:color="000000" w:sz="4" w:space="0"/>
              <w:bottom w:val="single" w:color="auto" w:sz="4" w:space="0"/>
              <w:right w:val="single" w:color="000000" w:sz="4" w:space="0"/>
            </w:tcBorders>
            <w:shd w:val="clear" w:color="auto" w:fill="auto"/>
            <w:vAlign w:val="center"/>
          </w:tcPr>
          <w:p w14:paraId="7B116E75">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52</w:t>
            </w:r>
          </w:p>
        </w:tc>
        <w:tc>
          <w:tcPr>
            <w:tcW w:w="1479" w:type="pct"/>
            <w:tcBorders>
              <w:top w:val="single" w:color="000000" w:sz="4" w:space="0"/>
              <w:left w:val="single" w:color="000000" w:sz="4" w:space="0"/>
              <w:bottom w:val="single" w:color="auto" w:sz="4" w:space="0"/>
              <w:right w:val="single" w:color="000000" w:sz="4" w:space="0"/>
            </w:tcBorders>
            <w:shd w:val="clear" w:color="auto" w:fill="auto"/>
            <w:vAlign w:val="center"/>
          </w:tcPr>
          <w:p w14:paraId="46A012F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志愿者服</w:t>
            </w:r>
          </w:p>
        </w:tc>
        <w:tc>
          <w:tcPr>
            <w:tcW w:w="1083" w:type="pct"/>
            <w:tcBorders>
              <w:top w:val="single" w:color="000000" w:sz="4" w:space="0"/>
              <w:left w:val="single" w:color="000000" w:sz="4" w:space="0"/>
              <w:bottom w:val="single" w:color="auto" w:sz="4" w:space="0"/>
              <w:right w:val="single" w:color="000000" w:sz="4" w:space="0"/>
            </w:tcBorders>
            <w:shd w:val="clear" w:color="auto" w:fill="auto"/>
            <w:vAlign w:val="center"/>
          </w:tcPr>
          <w:p w14:paraId="3C5D150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大、中、小码</w:t>
            </w:r>
          </w:p>
        </w:tc>
        <w:tc>
          <w:tcPr>
            <w:tcW w:w="783" w:type="pct"/>
            <w:tcBorders>
              <w:top w:val="single" w:color="000000" w:sz="4" w:space="0"/>
              <w:left w:val="single" w:color="000000" w:sz="4" w:space="0"/>
              <w:bottom w:val="single" w:color="auto" w:sz="4" w:space="0"/>
              <w:right w:val="single" w:color="000000" w:sz="4" w:space="0"/>
            </w:tcBorders>
            <w:shd w:val="clear" w:color="auto" w:fill="auto"/>
            <w:vAlign w:val="center"/>
          </w:tcPr>
          <w:p w14:paraId="66FAECF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件</w:t>
            </w:r>
          </w:p>
        </w:tc>
        <w:tc>
          <w:tcPr>
            <w:tcW w:w="1257" w:type="pct"/>
            <w:tcBorders>
              <w:top w:val="nil"/>
              <w:left w:val="single" w:color="000000" w:sz="8" w:space="0"/>
              <w:bottom w:val="single" w:color="auto" w:sz="4" w:space="0"/>
              <w:right w:val="single" w:color="000000" w:sz="8" w:space="0"/>
            </w:tcBorders>
            <w:shd w:val="clear" w:color="auto" w:fill="auto"/>
            <w:vAlign w:val="center"/>
          </w:tcPr>
          <w:p w14:paraId="137684F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1.5</w:t>
            </w:r>
          </w:p>
        </w:tc>
      </w:tr>
      <w:tr w14:paraId="15CFA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6" w:type="pct"/>
            <w:tcBorders>
              <w:top w:val="single" w:color="auto" w:sz="4" w:space="0"/>
              <w:left w:val="single" w:color="auto" w:sz="4" w:space="0"/>
              <w:bottom w:val="single" w:color="auto" w:sz="4" w:space="0"/>
              <w:right w:val="single" w:color="000000" w:sz="4" w:space="0"/>
            </w:tcBorders>
            <w:shd w:val="clear" w:color="auto" w:fill="auto"/>
            <w:vAlign w:val="center"/>
          </w:tcPr>
          <w:p w14:paraId="37143423">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合计</w:t>
            </w:r>
          </w:p>
        </w:tc>
        <w:tc>
          <w:tcPr>
            <w:tcW w:w="1479" w:type="pct"/>
            <w:tcBorders>
              <w:top w:val="single" w:color="auto" w:sz="4" w:space="0"/>
              <w:left w:val="single" w:color="000000" w:sz="4" w:space="0"/>
              <w:bottom w:val="single" w:color="auto" w:sz="4" w:space="0"/>
              <w:right w:val="single" w:color="000000" w:sz="4" w:space="0"/>
            </w:tcBorders>
            <w:shd w:val="clear" w:color="auto" w:fill="auto"/>
            <w:vAlign w:val="center"/>
          </w:tcPr>
          <w:p w14:paraId="7D00B04A">
            <w:pPr>
              <w:jc w:val="center"/>
              <w:rPr>
                <w:rFonts w:hint="eastAsia" w:ascii="宋体" w:hAnsi="宋体" w:eastAsia="宋体" w:cs="宋体"/>
                <w:i w:val="0"/>
                <w:iCs w:val="0"/>
                <w:color w:val="auto"/>
                <w:sz w:val="22"/>
                <w:szCs w:val="22"/>
                <w:u w:val="none"/>
              </w:rPr>
            </w:pPr>
          </w:p>
        </w:tc>
        <w:tc>
          <w:tcPr>
            <w:tcW w:w="1083" w:type="pct"/>
            <w:tcBorders>
              <w:top w:val="single" w:color="auto" w:sz="4" w:space="0"/>
              <w:left w:val="single" w:color="000000" w:sz="4" w:space="0"/>
              <w:bottom w:val="single" w:color="auto" w:sz="4" w:space="0"/>
              <w:right w:val="single" w:color="000000" w:sz="4" w:space="0"/>
            </w:tcBorders>
            <w:shd w:val="clear" w:color="auto" w:fill="auto"/>
            <w:vAlign w:val="center"/>
          </w:tcPr>
          <w:p w14:paraId="56265C52">
            <w:pPr>
              <w:jc w:val="center"/>
              <w:rPr>
                <w:rFonts w:hint="eastAsia" w:ascii="宋体" w:hAnsi="宋体" w:eastAsia="宋体" w:cs="宋体"/>
                <w:i w:val="0"/>
                <w:iCs w:val="0"/>
                <w:color w:val="auto"/>
                <w:sz w:val="22"/>
                <w:szCs w:val="22"/>
                <w:u w:val="none"/>
              </w:rPr>
            </w:pPr>
          </w:p>
        </w:tc>
        <w:tc>
          <w:tcPr>
            <w:tcW w:w="783" w:type="pct"/>
            <w:tcBorders>
              <w:top w:val="single" w:color="auto" w:sz="4" w:space="0"/>
              <w:left w:val="single" w:color="000000" w:sz="4" w:space="0"/>
              <w:bottom w:val="single" w:color="auto" w:sz="4" w:space="0"/>
              <w:right w:val="single" w:color="000000" w:sz="4" w:space="0"/>
            </w:tcBorders>
            <w:shd w:val="clear" w:color="auto" w:fill="auto"/>
            <w:vAlign w:val="center"/>
          </w:tcPr>
          <w:p w14:paraId="57C5F000">
            <w:pPr>
              <w:jc w:val="center"/>
              <w:rPr>
                <w:rFonts w:hint="eastAsia" w:ascii="宋体" w:hAnsi="宋体" w:eastAsia="宋体" w:cs="宋体"/>
                <w:i w:val="0"/>
                <w:iCs w:val="0"/>
                <w:color w:val="auto"/>
                <w:sz w:val="22"/>
                <w:szCs w:val="22"/>
                <w:u w:val="none"/>
              </w:rPr>
            </w:pPr>
          </w:p>
        </w:tc>
        <w:tc>
          <w:tcPr>
            <w:tcW w:w="1257" w:type="pct"/>
            <w:tcBorders>
              <w:top w:val="single" w:color="auto" w:sz="4" w:space="0"/>
              <w:left w:val="nil"/>
              <w:bottom w:val="single" w:color="auto" w:sz="4" w:space="0"/>
              <w:right w:val="single" w:color="auto" w:sz="4" w:space="0"/>
            </w:tcBorders>
            <w:shd w:val="clear" w:color="auto" w:fill="auto"/>
            <w:noWrap/>
            <w:vAlign w:val="center"/>
          </w:tcPr>
          <w:p w14:paraId="0054520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cs="宋体"/>
                <w:i w:val="0"/>
                <w:iCs w:val="0"/>
                <w:color w:val="auto"/>
                <w:kern w:val="0"/>
                <w:sz w:val="22"/>
                <w:szCs w:val="22"/>
                <w:u w:val="none"/>
                <w:lang w:val="en-US" w:eastAsia="zh-CN" w:bidi="ar"/>
              </w:rPr>
              <w:t>62.68</w:t>
            </w:r>
          </w:p>
        </w:tc>
      </w:tr>
    </w:tbl>
    <w:p w14:paraId="22AF9E26">
      <w:pPr>
        <w:keepNext w:val="0"/>
        <w:keepLines w:val="0"/>
        <w:pageBreakBefore w:val="0"/>
        <w:widowControl w:val="0"/>
        <w:kinsoku/>
        <w:wordWrap/>
        <w:overflowPunct/>
        <w:topLinePunct w:val="0"/>
        <w:autoSpaceDE/>
        <w:autoSpaceDN/>
        <w:bidi w:val="0"/>
        <w:adjustRightInd/>
        <w:snapToGrid/>
        <w:spacing w:line="240" w:lineRule="auto"/>
        <w:ind w:firstLine="237" w:firstLineChars="100"/>
        <w:jc w:val="left"/>
        <w:textAlignment w:val="auto"/>
        <w:rPr>
          <w:rFonts w:hint="eastAsia" w:ascii="宋体" w:hAnsi="宋体" w:eastAsia="宋体" w:cs="宋体"/>
          <w:b/>
          <w:bCs/>
          <w:color w:val="auto"/>
          <w:spacing w:val="-2"/>
          <w:sz w:val="24"/>
          <w:szCs w:val="24"/>
          <w:highlight w:val="none"/>
          <w:lang w:val="en-US" w:eastAsia="zh-CN"/>
        </w:rPr>
      </w:pPr>
    </w:p>
    <w:p w14:paraId="312A8493">
      <w:pPr>
        <w:keepNext w:val="0"/>
        <w:keepLines w:val="0"/>
        <w:pageBreakBefore w:val="0"/>
        <w:widowControl w:val="0"/>
        <w:kinsoku/>
        <w:wordWrap/>
        <w:overflowPunct/>
        <w:topLinePunct w:val="0"/>
        <w:autoSpaceDE/>
        <w:autoSpaceDN/>
        <w:bidi w:val="0"/>
        <w:adjustRightInd/>
        <w:snapToGrid/>
        <w:spacing w:line="240" w:lineRule="auto"/>
        <w:ind w:firstLine="237" w:firstLineChars="100"/>
        <w:jc w:val="left"/>
        <w:textAlignment w:val="auto"/>
        <w:rPr>
          <w:rFonts w:hint="default" w:ascii="宋体" w:hAnsi="宋体" w:eastAsia="宋体" w:cs="宋体"/>
          <w:b/>
          <w:bCs/>
          <w:color w:val="auto"/>
          <w:spacing w:val="-2"/>
          <w:sz w:val="24"/>
          <w:szCs w:val="24"/>
          <w:highlight w:val="none"/>
          <w:lang w:val="en-US" w:eastAsia="zh-CN"/>
        </w:rPr>
      </w:pPr>
      <w:r>
        <w:rPr>
          <w:rFonts w:hint="eastAsia" w:ascii="宋体" w:hAnsi="宋体" w:eastAsia="宋体" w:cs="宋体"/>
          <w:b/>
          <w:bCs/>
          <w:color w:val="auto"/>
          <w:spacing w:val="-2"/>
          <w:sz w:val="24"/>
          <w:szCs w:val="24"/>
          <w:highlight w:val="none"/>
          <w:lang w:val="en-US" w:eastAsia="zh-CN"/>
        </w:rPr>
        <w:t>注：所有新布草的首次洗涤（包含洗涤、烘干、熨烫、折叠全流程），按对应规格中标单价的80%结算。</w:t>
      </w:r>
    </w:p>
    <w:p w14:paraId="4D76812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2"/>
          <w:sz w:val="32"/>
          <w:szCs w:val="32"/>
          <w:highlight w:val="none"/>
        </w:rPr>
      </w:pPr>
    </w:p>
    <w:p w14:paraId="78CF3E3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pacing w:val="-2"/>
          <w:sz w:val="32"/>
          <w:szCs w:val="32"/>
          <w:highlight w:val="none"/>
        </w:rPr>
      </w:pPr>
    </w:p>
    <w:p w14:paraId="5C63670D">
      <w:pPr>
        <w:rPr>
          <w:rFonts w:hint="eastAsia" w:ascii="宋体" w:hAnsi="宋体" w:eastAsia="宋体" w:cs="宋体"/>
          <w:color w:val="auto"/>
          <w:spacing w:val="-2"/>
          <w:sz w:val="32"/>
          <w:szCs w:val="32"/>
          <w:highlight w:val="none"/>
        </w:rPr>
      </w:pPr>
      <w:r>
        <w:rPr>
          <w:rFonts w:hint="eastAsia" w:ascii="宋体" w:hAnsi="宋体" w:eastAsia="宋体" w:cs="宋体"/>
          <w:color w:val="auto"/>
          <w:spacing w:val="-2"/>
          <w:sz w:val="32"/>
          <w:szCs w:val="32"/>
          <w:highlight w:val="none"/>
        </w:rPr>
        <w:br w:type="page"/>
      </w:r>
    </w:p>
    <w:p w14:paraId="4E8C6E00">
      <w:pPr>
        <w:keepNext w:val="0"/>
        <w:keepLines w:val="0"/>
        <w:pageBreakBefore w:val="0"/>
        <w:widowControl w:val="0"/>
        <w:kinsoku/>
        <w:wordWrap/>
        <w:overflowPunct/>
        <w:topLinePunct w:val="0"/>
        <w:autoSpaceDE/>
        <w:autoSpaceDN/>
        <w:bidi w:val="0"/>
        <w:adjustRightInd/>
        <w:snapToGrid/>
        <w:spacing w:before="139" w:line="560" w:lineRule="exact"/>
        <w:textAlignment w:val="auto"/>
        <w:rPr>
          <w:rFonts w:hint="eastAsia" w:ascii="宋体" w:hAnsi="宋体" w:eastAsia="宋体" w:cs="宋体"/>
          <w:b/>
          <w:bCs/>
          <w:color w:val="auto"/>
          <w:spacing w:val="-2"/>
          <w:sz w:val="32"/>
          <w:szCs w:val="32"/>
          <w:highlight w:val="none"/>
          <w:lang w:eastAsia="zh-CN"/>
        </w:rPr>
      </w:pPr>
      <w:r>
        <w:rPr>
          <w:rFonts w:hint="eastAsia" w:ascii="宋体" w:hAnsi="宋体" w:eastAsia="宋体" w:cs="宋体"/>
          <w:b/>
          <w:bCs/>
          <w:color w:val="auto"/>
          <w:spacing w:val="-2"/>
          <w:sz w:val="32"/>
          <w:szCs w:val="32"/>
          <w:highlight w:val="none"/>
          <w:lang w:eastAsia="zh-CN"/>
        </w:rPr>
        <w:t>附件二：</w:t>
      </w:r>
    </w:p>
    <w:p w14:paraId="56CAA85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44"/>
          <w:szCs w:val="44"/>
          <w:highlight w:val="none"/>
        </w:rPr>
      </w:pPr>
      <w:r>
        <w:rPr>
          <w:rFonts w:hint="eastAsia" w:ascii="宋体" w:hAnsi="宋体" w:eastAsia="宋体" w:cs="宋体"/>
          <w:b/>
          <w:bCs/>
          <w:color w:val="auto"/>
          <w:spacing w:val="-2"/>
          <w:sz w:val="44"/>
          <w:szCs w:val="44"/>
          <w:highlight w:val="none"/>
          <w:lang w:eastAsia="zh-CN"/>
        </w:rPr>
        <w:t>广西医科大学附属武鸣医院</w:t>
      </w:r>
      <w:r>
        <w:rPr>
          <w:rFonts w:hint="eastAsia" w:ascii="宋体" w:hAnsi="宋体" w:eastAsia="宋体" w:cs="宋体"/>
          <w:b/>
          <w:bCs/>
          <w:color w:val="auto"/>
          <w:spacing w:val="-2"/>
          <w:sz w:val="44"/>
          <w:szCs w:val="44"/>
          <w:highlight w:val="none"/>
        </w:rPr>
        <w:t>医院洗涤工作管理细则</w:t>
      </w:r>
    </w:p>
    <w:p w14:paraId="3CDD19A8">
      <w:pPr>
        <w:spacing w:line="410" w:lineRule="auto"/>
        <w:rPr>
          <w:rFonts w:ascii="宋体" w:hAnsi="Times New Roman" w:eastAsia="宋体" w:cs="Times New Roman"/>
          <w:color w:val="auto"/>
          <w:sz w:val="21"/>
          <w:highlight w:val="none"/>
        </w:rPr>
      </w:pPr>
    </w:p>
    <w:p w14:paraId="169B29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一、洗涤作业程序</w:t>
      </w:r>
    </w:p>
    <w:p w14:paraId="75016C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（一） 洗衣房的作业应按照收集、运输、分类打包、洗涤、脱水、烘干、熨烫、折叠、储存（打包）、 分送等步骤，洁净物品在储存（打包、分类） 前应检查有无破损、掉线、掉扣、毛边、污渍洗不掉的现</w:t>
      </w:r>
    </w:p>
    <w:p w14:paraId="4CC9FF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象。新布草应印上医院、科室的标识后，需进行漂洗，才可与干净布草一起放置，以便待送。</w:t>
      </w:r>
    </w:p>
    <w:p w14:paraId="34BCE9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（二） 收集与分类</w:t>
      </w:r>
    </w:p>
    <w:p w14:paraId="3A31CF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lang w:eastAsia="zh-CN"/>
        </w:rPr>
        <w:t>1.</w:t>
      </w:r>
      <w:r>
        <w:rPr>
          <w:rFonts w:hint="eastAsia" w:ascii="宋体" w:hAnsi="宋体" w:eastAsia="宋体" w:cs="宋体"/>
          <w:color w:val="auto"/>
        </w:rPr>
        <w:t>收送推车要分为干净用车、脏污用车，并印上标识，实行专车专用。</w:t>
      </w:r>
    </w:p>
    <w:p w14:paraId="20E593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lang w:eastAsia="zh-CN"/>
        </w:rPr>
        <w:t>2.</w:t>
      </w:r>
      <w:r>
        <w:rPr>
          <w:rFonts w:hint="eastAsia" w:ascii="宋体" w:hAnsi="宋体" w:eastAsia="宋体" w:cs="宋体"/>
          <w:color w:val="auto"/>
        </w:rPr>
        <w:t>干净用车要分为病人被服用车，工作服专用车。下送各种干净被服时，做到专车专用，推送干净</w:t>
      </w:r>
    </w:p>
    <w:p w14:paraId="3DC8CB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衣服要打包好，不允许裸露，并在车上盖上干净布单，只允许走干净电梯运输。</w:t>
      </w:r>
    </w:p>
    <w:p w14:paraId="5D58EE6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lang w:eastAsia="zh-CN"/>
        </w:rPr>
        <w:t>3.</w:t>
      </w:r>
      <w:r>
        <w:rPr>
          <w:rFonts w:hint="eastAsia" w:ascii="宋体" w:hAnsi="宋体" w:eastAsia="宋体" w:cs="宋体"/>
          <w:color w:val="auto"/>
        </w:rPr>
        <w:t>脏污用车要分为病人被服专用车，工作服专用车。各种脏污被服要分别收集分别打包运送，特别</w:t>
      </w:r>
    </w:p>
    <w:p w14:paraId="7D079B5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是污染上传染病菌的特殊的脏污被服单独处理。</w:t>
      </w:r>
    </w:p>
    <w:p w14:paraId="7DFA7BE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lang w:eastAsia="zh-CN"/>
        </w:rPr>
        <w:t>4.</w:t>
      </w:r>
      <w:r>
        <w:rPr>
          <w:rFonts w:hint="eastAsia" w:ascii="宋体" w:hAnsi="宋体" w:eastAsia="宋体" w:cs="宋体"/>
          <w:color w:val="auto"/>
        </w:rPr>
        <w:t>为了防止</w:t>
      </w:r>
      <w:r>
        <w:rPr>
          <w:rFonts w:hint="eastAsia" w:ascii="宋体" w:hAnsi="宋体" w:eastAsia="宋体" w:cs="宋体"/>
          <w:color w:val="auto"/>
          <w:lang w:eastAsia="zh-CN"/>
        </w:rPr>
        <w:t>交叉感染</w:t>
      </w:r>
      <w:r>
        <w:rPr>
          <w:rFonts w:hint="eastAsia" w:ascii="宋体" w:hAnsi="宋体" w:eastAsia="宋体" w:cs="宋体"/>
          <w:color w:val="auto"/>
        </w:rPr>
        <w:t>，不管在什么情况下收集脏污被服时，都不能在病房随便抖动，推送脏被服要在车上盖上干净布单才能运出病区污染区，并走污物电梯运输。</w:t>
      </w:r>
    </w:p>
    <w:p w14:paraId="134321C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lang w:eastAsia="zh-CN"/>
        </w:rPr>
        <w:t>5.</w:t>
      </w:r>
      <w:r>
        <w:rPr>
          <w:rFonts w:hint="eastAsia" w:ascii="宋体" w:hAnsi="宋体" w:eastAsia="宋体" w:cs="宋体"/>
          <w:color w:val="auto"/>
        </w:rPr>
        <w:t>收完脏污被服后，收送人员在送干净被服前必须将身上脏衣服及鞋子换下，经过 7 个步骤洗手， 换穿上干净工作服后才能下送各种干净被服。</w:t>
      </w:r>
    </w:p>
    <w:p w14:paraId="15D97F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lang w:eastAsia="zh-CN"/>
        </w:rPr>
        <w:t>6.</w:t>
      </w:r>
      <w:r>
        <w:rPr>
          <w:rFonts w:hint="eastAsia" w:ascii="宋体" w:hAnsi="宋体" w:eastAsia="宋体" w:cs="宋体"/>
          <w:color w:val="auto"/>
        </w:rPr>
        <w:t>运输车辆，要分脏物运输车和干净运输车，严格专车专用。每天要进行消毒。</w:t>
      </w:r>
    </w:p>
    <w:p w14:paraId="08FEC0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lang w:eastAsia="zh-CN"/>
        </w:rPr>
        <w:t>7.</w:t>
      </w:r>
      <w:r>
        <w:rPr>
          <w:rFonts w:hint="eastAsia" w:ascii="宋体" w:hAnsi="宋体" w:eastAsia="宋体" w:cs="宋体"/>
          <w:color w:val="auto"/>
        </w:rPr>
        <w:t>收脏被服推车每天要进行消毒 2 次（中午、下午） ，干净推车每天消毒 1 次。</w:t>
      </w:r>
    </w:p>
    <w:p w14:paraId="620018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（三） 洗涤质量标准</w:t>
      </w:r>
    </w:p>
    <w:p w14:paraId="5E0661B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lang w:eastAsia="zh-CN"/>
        </w:rPr>
        <w:t>1.</w:t>
      </w:r>
      <w:r>
        <w:rPr>
          <w:rFonts w:hint="eastAsia" w:ascii="宋体" w:hAnsi="宋体" w:eastAsia="宋体" w:cs="宋体"/>
          <w:color w:val="auto"/>
        </w:rPr>
        <w:t>布草洗涤质量标准</w:t>
      </w:r>
    </w:p>
    <w:p w14:paraId="7107006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（1） 洗涤必须严格遵守卫生行政管理部门有关规定及洗衣房洗涤消毒工作制度，在洗涤被污染的布草前，应先用消毒剂按配比进行浸泡 30 分钟，然后用清水洗净，再投入机内按程序洗涤，（大便污染布、乙肝、艾滋等传染病布类，由使用科室通知洗涤服务机构，用红色袋子单独包装） ，分别浸泡蒸煮消毒后再洗涤。布草的消毒洗涤必须遵守分类原则，医护工作服单独洗；小孩服、PICU 布类、康复中心布类 等儿科布草单独洗；产科、妇科床单、大人病号服等妇产科布草单独洗；手术室布类单独洗（洗手衣除 ） ；洗手衣单独洗；供应室白布单独洗；新生儿科、供应室、手术室等科室布类专机专洗。</w:t>
      </w:r>
    </w:p>
    <w:p w14:paraId="32F0C02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（2） 洗衣机的水温必须达到消毒的作用，烘干机用气要达到被服烘干透，不允许潮湿。</w:t>
      </w:r>
    </w:p>
    <w:p w14:paraId="40F1A8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（3） 洗涤后的被服布类外观洁净、无皱褶，无明显可以洗脱、去除的污渍，无异味、串色，白色布类要求整体面洁白、颜色布类整体面鲜艳，有光泽感，清新透亮，布类整体无任何常规污垢的残迹（如</w:t>
      </w:r>
    </w:p>
    <w:p w14:paraId="2391B0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色素</w:t>
      </w:r>
      <w:r>
        <w:rPr>
          <w:rFonts w:hint="eastAsia" w:ascii="宋体" w:hAnsi="宋体" w:eastAsia="宋体" w:cs="宋体"/>
          <w:color w:val="auto"/>
          <w:lang w:eastAsia="zh-CN"/>
        </w:rPr>
        <w:t>黄斑</w:t>
      </w:r>
      <w:r>
        <w:rPr>
          <w:rFonts w:hint="eastAsia" w:ascii="宋体" w:hAnsi="宋体" w:eastAsia="宋体" w:cs="宋体"/>
          <w:color w:val="auto"/>
        </w:rPr>
        <w:t>、油脂等） ；洗好的布类无残留漂白剂的氯气味、洗衣粉味。</w:t>
      </w:r>
    </w:p>
    <w:p w14:paraId="1B910E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（4） 被粪便污染（或包有粪便） 的被服中标人不能收取额外费用。</w:t>
      </w:r>
    </w:p>
    <w:p w14:paraId="09E709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lang w:eastAsia="zh-CN"/>
        </w:rPr>
        <w:t>2.</w:t>
      </w:r>
      <w:r>
        <w:rPr>
          <w:rFonts w:hint="eastAsia" w:ascii="宋体" w:hAnsi="宋体" w:eastAsia="宋体" w:cs="宋体"/>
          <w:color w:val="auto"/>
        </w:rPr>
        <w:t>布草折叠、熨烫的质量标准</w:t>
      </w:r>
    </w:p>
    <w:p w14:paraId="1D4D8A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p>
    <w:p w14:paraId="5045D4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（1） 按各种布类的折叠方法进行折叠。折叠后的所有布类平整、无穿孔、无缺损、无</w:t>
      </w:r>
      <w:r>
        <w:rPr>
          <w:rFonts w:hint="eastAsia" w:ascii="宋体" w:hAnsi="宋体" w:eastAsia="宋体" w:cs="宋体"/>
          <w:color w:val="auto"/>
          <w:lang w:eastAsia="zh-CN"/>
        </w:rPr>
        <w:t>黏附</w:t>
      </w:r>
      <w:r>
        <w:rPr>
          <w:rFonts w:hint="eastAsia" w:ascii="宋体" w:hAnsi="宋体" w:eastAsia="宋体" w:cs="宋体"/>
          <w:color w:val="auto"/>
        </w:rPr>
        <w:t>物。</w:t>
      </w:r>
    </w:p>
    <w:p w14:paraId="693C4F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（2） 根据需求对特殊衣物进行熨烫。经熨烫的被服平整，无双重痕迹和不规则熨烫。</w:t>
      </w:r>
    </w:p>
    <w:p w14:paraId="0B44C12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（3） 具有缝补、修改价值的布草（重新裁剪使用） ，缝补部位采用合适的缝布、缝针、缝线，</w:t>
      </w:r>
      <w:r>
        <w:rPr>
          <w:rFonts w:hint="eastAsia" w:ascii="宋体" w:hAnsi="宋体" w:eastAsia="宋体" w:cs="宋体"/>
          <w:color w:val="auto"/>
          <w:lang w:eastAsia="zh-CN"/>
        </w:rPr>
        <w:t>纽扣</w:t>
      </w:r>
    </w:p>
    <w:p w14:paraId="696D8E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及缝补方式，缝补后的衣物实用、美观、并保持原用途，缝补使用的材料（扣、线、松紧带</w:t>
      </w:r>
      <w:r>
        <w:rPr>
          <w:rFonts w:hint="eastAsia" w:ascii="宋体" w:hAnsi="宋体" w:eastAsia="宋体" w:cs="宋体"/>
          <w:color w:val="auto"/>
          <w:lang w:eastAsia="zh-CN"/>
        </w:rPr>
        <w:t>等</w:t>
      </w:r>
      <w:r>
        <w:rPr>
          <w:rFonts w:hint="eastAsia" w:ascii="宋体" w:hAnsi="宋体" w:eastAsia="宋体" w:cs="宋体"/>
          <w:color w:val="auto"/>
        </w:rPr>
        <w:t>配件由 洗涤服务机构提供） 。</w:t>
      </w:r>
    </w:p>
    <w:p w14:paraId="4BD085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（4） 对有破损但未达到报废的布草应及时缝补，缝补平整美观；对掉扣子、松紧带及时</w:t>
      </w:r>
      <w:r>
        <w:rPr>
          <w:rFonts w:hint="eastAsia" w:ascii="宋体" w:hAnsi="宋体" w:eastAsia="宋体" w:cs="宋体"/>
          <w:color w:val="auto"/>
          <w:lang w:eastAsia="zh-CN"/>
        </w:rPr>
        <w:t>补丁</w:t>
      </w:r>
      <w:r>
        <w:rPr>
          <w:rFonts w:hint="eastAsia" w:ascii="宋体" w:hAnsi="宋体" w:eastAsia="宋体" w:cs="宋体"/>
          <w:color w:val="auto"/>
        </w:rPr>
        <w:t>、更换。</w:t>
      </w:r>
    </w:p>
    <w:p w14:paraId="417928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lang w:eastAsia="zh-CN"/>
        </w:rPr>
        <w:t>3.</w:t>
      </w:r>
      <w:r>
        <w:rPr>
          <w:rFonts w:hint="eastAsia" w:ascii="宋体" w:hAnsi="宋体" w:eastAsia="宋体" w:cs="宋体"/>
          <w:color w:val="auto"/>
        </w:rPr>
        <w:t>布草收送质量标准</w:t>
      </w:r>
    </w:p>
    <w:p w14:paraId="7EBE13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（1） 牢固树立服务思想，热情为临床服务，爱护医院物品。</w:t>
      </w:r>
    </w:p>
    <w:p w14:paraId="7AB211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（2） 每天及时下病区和科室收送各类布草，通过RFID追溯管理系统进行</w:t>
      </w:r>
      <w:r>
        <w:rPr>
          <w:rFonts w:hint="eastAsia" w:ascii="宋体" w:hAnsi="宋体" w:eastAsia="宋体" w:cs="宋体"/>
          <w:color w:val="auto"/>
          <w:lang w:val="en-US" w:eastAsia="zh-CN"/>
        </w:rPr>
        <w:t>管理</w:t>
      </w:r>
      <w:r>
        <w:rPr>
          <w:rFonts w:hint="eastAsia" w:ascii="宋体" w:hAnsi="宋体" w:eastAsia="宋体" w:cs="宋体"/>
          <w:color w:val="auto"/>
          <w:lang w:eastAsia="zh-CN"/>
        </w:rPr>
        <w:t>，</w:t>
      </w:r>
      <w:r>
        <w:rPr>
          <w:rFonts w:hint="eastAsia" w:ascii="宋体" w:hAnsi="宋体" w:eastAsia="宋体" w:cs="宋体"/>
          <w:color w:val="auto"/>
        </w:rPr>
        <w:t>要求当面点清各种净物和脏物布草的数量，登记填写好每天的清单，并签名写清日期。</w:t>
      </w:r>
    </w:p>
    <w:p w14:paraId="77DB1F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（3） 收工作衣、工作裤时要检查有无科室标记，如没有要给予补上科室的标记。</w:t>
      </w:r>
    </w:p>
    <w:p w14:paraId="364479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（4） 清理医护人员制服口袋物品、 （如有口红、碳素墨水等而造成串色，由中标人负责）  ，达不到要求（留有污渍）重洗，但不重复计价。</w:t>
      </w:r>
    </w:p>
    <w:p w14:paraId="176F288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 xml:space="preserve">（5） </w:t>
      </w:r>
      <w:r>
        <w:rPr>
          <w:rFonts w:hint="eastAsia" w:ascii="宋体" w:hAnsi="宋体" w:eastAsia="宋体" w:cs="宋体"/>
          <w:color w:val="auto"/>
          <w:lang w:eastAsia="zh-CN"/>
        </w:rPr>
        <w:t>运送</w:t>
      </w:r>
      <w:r>
        <w:rPr>
          <w:rFonts w:hint="eastAsia" w:ascii="宋体" w:hAnsi="宋体" w:eastAsia="宋体" w:cs="宋体"/>
          <w:color w:val="auto"/>
        </w:rPr>
        <w:t>物品的车辆要按规定乘用电梯。</w:t>
      </w:r>
    </w:p>
    <w:p w14:paraId="22CC08A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（6） 指定地点收集</w:t>
      </w:r>
      <w:r>
        <w:rPr>
          <w:rFonts w:hint="eastAsia" w:ascii="宋体" w:hAnsi="宋体" w:eastAsia="宋体" w:cs="宋体"/>
          <w:color w:val="auto"/>
          <w:lang w:eastAsia="zh-CN"/>
        </w:rPr>
        <w:t>脏污</w:t>
      </w:r>
      <w:r>
        <w:rPr>
          <w:rFonts w:hint="eastAsia" w:ascii="宋体" w:hAnsi="宋体" w:eastAsia="宋体" w:cs="宋体"/>
          <w:color w:val="auto"/>
        </w:rPr>
        <w:t>物，避免在病房过道、走廊清点，装入密闭容器内，专线运送，路线由洁到污，不得逆行。运送密闭容器洁、污分开，洁、污运送车有标志，用后及时清洁、</w:t>
      </w:r>
      <w:r>
        <w:rPr>
          <w:rFonts w:hint="eastAsia" w:ascii="宋体" w:hAnsi="宋体" w:eastAsia="宋体" w:cs="宋体"/>
          <w:color w:val="auto"/>
          <w:lang w:eastAsia="zh-CN"/>
        </w:rPr>
        <w:t>消毒</w:t>
      </w:r>
      <w:r>
        <w:rPr>
          <w:rFonts w:hint="eastAsia" w:ascii="宋体" w:hAnsi="宋体" w:eastAsia="宋体" w:cs="宋体"/>
          <w:color w:val="auto"/>
        </w:rPr>
        <w:t>。</w:t>
      </w:r>
    </w:p>
    <w:p w14:paraId="441081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（7） 科室反映的问题当日回复妥善处理。</w:t>
      </w:r>
    </w:p>
    <w:p w14:paraId="05B1BE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lang w:eastAsia="zh-CN"/>
        </w:rPr>
        <w:t>4.</w:t>
      </w:r>
      <w:r>
        <w:rPr>
          <w:rFonts w:hint="eastAsia" w:ascii="宋体" w:hAnsi="宋体" w:eastAsia="宋体" w:cs="宋体"/>
          <w:color w:val="auto"/>
        </w:rPr>
        <w:t>布草处理办法</w:t>
      </w:r>
    </w:p>
    <w:p w14:paraId="3D870A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（1） 布草的自然磨损，由洗涤服务机构负责及时缝补（包括：缝补、掉扣子、松紧带及</w:t>
      </w:r>
      <w:r>
        <w:rPr>
          <w:rFonts w:hint="eastAsia" w:ascii="宋体" w:hAnsi="宋体" w:eastAsia="宋体" w:cs="宋体"/>
          <w:color w:val="auto"/>
          <w:lang w:eastAsia="zh-CN"/>
        </w:rPr>
        <w:t>补丁</w:t>
      </w:r>
      <w:r>
        <w:rPr>
          <w:rFonts w:hint="eastAsia" w:ascii="宋体" w:hAnsi="宋体" w:eastAsia="宋体" w:cs="宋体"/>
          <w:color w:val="auto"/>
        </w:rPr>
        <w:t>） ；洗涤过程中由机器造成或人为破坏造成布草无法正常使用或破损的，由洗涤服务机构负责赔偿。</w:t>
      </w:r>
    </w:p>
    <w:p w14:paraId="4BDBFE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（2）布草报废由使用科室根据实际情况提出报废申请，须由双方清点数量，并及时补充相应的布草。</w:t>
      </w:r>
    </w:p>
    <w:p w14:paraId="48F39C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（3） 布草报废的标准：洗涤过程中出现以下情形，布草中间部位或显眼位置有大块污渍及</w:t>
      </w:r>
      <w:r>
        <w:rPr>
          <w:rFonts w:hint="eastAsia" w:ascii="宋体" w:hAnsi="宋体" w:eastAsia="宋体" w:cs="宋体"/>
          <w:color w:val="auto"/>
          <w:lang w:eastAsia="zh-CN"/>
        </w:rPr>
        <w:t>两块</w:t>
      </w:r>
      <w:r>
        <w:rPr>
          <w:rFonts w:hint="eastAsia" w:ascii="宋体" w:hAnsi="宋体" w:eastAsia="宋体" w:cs="宋体"/>
          <w:color w:val="auto"/>
        </w:rPr>
        <w:t>以上</w:t>
      </w:r>
    </w:p>
    <w:p w14:paraId="4FF9398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超过 5 厘米的污渍，低于 5 成新，发黄、变色、染色、霉烂，由洗涤服务机构的工作人员负责</w:t>
      </w:r>
      <w:r>
        <w:rPr>
          <w:rFonts w:hint="eastAsia" w:ascii="宋体" w:hAnsi="宋体" w:eastAsia="宋体" w:cs="宋体"/>
          <w:color w:val="auto"/>
          <w:lang w:eastAsia="zh-CN"/>
        </w:rPr>
        <w:t>分拣</w:t>
      </w:r>
      <w:r>
        <w:rPr>
          <w:rFonts w:hint="eastAsia" w:ascii="宋体" w:hAnsi="宋体" w:eastAsia="宋体" w:cs="宋体"/>
          <w:color w:val="auto"/>
        </w:rPr>
        <w:t>，并</w:t>
      </w:r>
    </w:p>
    <w:p w14:paraId="06A867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列出清单，填写《致医院通知书》告知使用科室，再做处置决定。</w:t>
      </w:r>
    </w:p>
    <w:p w14:paraId="705A6ED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二、质量考核及监管办法</w:t>
      </w:r>
    </w:p>
    <w:p w14:paraId="00E546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sectPr>
          <w:headerReference r:id="rId5" w:type="default"/>
          <w:footerReference r:id="rId6" w:type="default"/>
          <w:type w:val="continuous"/>
          <w:pgSz w:w="11910" w:h="16840"/>
          <w:pgMar w:top="960" w:right="1053" w:bottom="1071" w:left="1134" w:header="945" w:footer="924" w:gutter="0"/>
          <w:pgNumType w:fmt="decimal" w:start="1"/>
          <w:cols w:space="720" w:num="1"/>
        </w:sectPr>
      </w:pPr>
      <w:r>
        <w:rPr>
          <w:rFonts w:hint="eastAsia" w:ascii="宋体" w:hAnsi="宋体" w:eastAsia="宋体" w:cs="宋体"/>
          <w:color w:val="auto"/>
          <w:lang w:eastAsia="zh-CN"/>
        </w:rPr>
        <w:t>（</w:t>
      </w:r>
      <w:r>
        <w:rPr>
          <w:rFonts w:hint="eastAsia" w:ascii="宋体" w:hAnsi="宋体" w:eastAsia="宋体" w:cs="宋体"/>
          <w:color w:val="auto"/>
          <w:lang w:val="en-US" w:eastAsia="zh-CN"/>
        </w:rPr>
        <w:t>1</w:t>
      </w:r>
      <w:r>
        <w:rPr>
          <w:rFonts w:hint="eastAsia" w:ascii="宋体" w:hAnsi="宋体" w:eastAsia="宋体" w:cs="宋体"/>
          <w:color w:val="auto"/>
          <w:lang w:eastAsia="zh-CN"/>
        </w:rPr>
        <w:t>）</w:t>
      </w:r>
      <w:r>
        <w:rPr>
          <w:rFonts w:hint="eastAsia" w:ascii="宋体" w:hAnsi="宋体" w:eastAsia="宋体" w:cs="宋体"/>
          <w:color w:val="auto"/>
        </w:rPr>
        <w:t>全院医用织物洗涤、消毒程序符合《医疗机构消毒技术规范（WS/T367-2012） 》、《医院医用织物洗涤消毒技术规范（WS/T508-2016） 》的标准</w:t>
      </w:r>
      <w:r>
        <w:rPr>
          <w:rFonts w:hint="eastAsia" w:ascii="宋体" w:hAnsi="宋体" w:eastAsia="宋体" w:cs="宋体"/>
          <w:color w:val="auto"/>
          <w:lang w:eastAsia="zh-CN"/>
        </w:rPr>
        <w:t>，对</w:t>
      </w:r>
      <w:r>
        <w:rPr>
          <w:rFonts w:hint="eastAsia" w:ascii="宋体" w:hAnsi="宋体" w:eastAsia="宋体" w:cs="宋体"/>
          <w:color w:val="auto"/>
        </w:rPr>
        <w:t>洗涤消毒后的被服布料进行消毒效果检测，合格率 100%，菌落数≤5，不含致病菌，洗涤服务机构每年提供给采购人两次由市级以上卫生防疫部门对洗净被服消毒效果的监测报告 （报告需</w:t>
      </w:r>
      <w:r>
        <w:rPr>
          <w:rFonts w:hint="eastAsia" w:ascii="宋体" w:hAnsi="宋体" w:eastAsia="宋体" w:cs="宋体"/>
          <w:color w:val="auto"/>
          <w:lang w:eastAsia="zh-CN"/>
        </w:rPr>
        <w:t>加盖</w:t>
      </w:r>
      <w:r>
        <w:rPr>
          <w:rFonts w:hint="eastAsia" w:ascii="宋体" w:hAnsi="宋体" w:eastAsia="宋体" w:cs="宋体"/>
          <w:color w:val="auto"/>
        </w:rPr>
        <w:t>中标人公章） ，如采购人有疑问，则由双方共同认可的机构在双方工作人员</w:t>
      </w:r>
      <w:r>
        <w:rPr>
          <w:rFonts w:hint="eastAsia" w:ascii="宋体" w:hAnsi="宋体" w:eastAsia="宋体" w:cs="宋体"/>
          <w:color w:val="auto"/>
          <w:lang w:eastAsia="zh-CN"/>
        </w:rPr>
        <w:t>在现</w:t>
      </w:r>
      <w:r>
        <w:rPr>
          <w:rFonts w:hint="eastAsia" w:ascii="宋体" w:hAnsi="宋体" w:eastAsia="宋体" w:cs="宋体"/>
          <w:color w:val="auto"/>
        </w:rPr>
        <w:t>场监督的情况下对衣物布草进行抽样检测。检测费用由中标人负责支付。若相关检测报告检测的结果不符合行业洗涤卫生标准，采购人处罚 2000 元/次，从洗涤费用中扣除；中标人应立即整改， 提供整改后的监测报告，整改后仍不合格，采购人有权</w:t>
      </w:r>
      <w:r>
        <w:rPr>
          <w:rFonts w:hint="eastAsia" w:ascii="宋体" w:hAnsi="宋体" w:eastAsia="宋体" w:cs="宋体"/>
          <w:color w:val="auto"/>
          <w:lang w:eastAsia="zh-CN"/>
        </w:rPr>
        <w:t>解除</w:t>
      </w:r>
      <w:r>
        <w:rPr>
          <w:rFonts w:hint="eastAsia" w:ascii="宋体" w:hAnsi="宋体" w:eastAsia="宋体" w:cs="宋体"/>
          <w:color w:val="auto"/>
        </w:rPr>
        <w:t>合同。</w:t>
      </w:r>
    </w:p>
    <w:p w14:paraId="381041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p>
    <w:p w14:paraId="43F91B0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（2） 洗涤后的被服布类外存在以下情况的外观不洁净、皱褶，无明显洗脱、污渍，异味、串色，白色布类不达标准—整体面洁白、颜色布类不达标准—整体面鲜艳</w:t>
      </w:r>
      <w:r>
        <w:rPr>
          <w:rFonts w:hint="eastAsia" w:ascii="宋体" w:hAnsi="宋体" w:eastAsia="宋体" w:cs="宋体"/>
          <w:color w:val="auto"/>
          <w:lang w:eastAsia="zh-CN"/>
        </w:rPr>
        <w:t>，有</w:t>
      </w:r>
      <w:r>
        <w:rPr>
          <w:rFonts w:hint="eastAsia" w:ascii="宋体" w:hAnsi="宋体" w:eastAsia="宋体" w:cs="宋体"/>
          <w:color w:val="auto"/>
        </w:rPr>
        <w:t>光泽感，清新透亮，布类整体污垢的残迹，如色素</w:t>
      </w:r>
      <w:r>
        <w:rPr>
          <w:rFonts w:hint="eastAsia" w:ascii="宋体" w:hAnsi="宋体" w:eastAsia="宋体" w:cs="宋体"/>
          <w:color w:val="auto"/>
          <w:lang w:eastAsia="zh-CN"/>
        </w:rPr>
        <w:t>黄斑</w:t>
      </w:r>
      <w:r>
        <w:rPr>
          <w:rFonts w:hint="eastAsia" w:ascii="宋体" w:hAnsi="宋体" w:eastAsia="宋体" w:cs="宋体"/>
          <w:color w:val="auto"/>
        </w:rPr>
        <w:t>、油脂等；洗好的布类无残留漂白剂的氯气味、洗衣粉味，按实际情况一件处罚 5-200元，从洗涤费用中扣除。</w:t>
      </w:r>
    </w:p>
    <w:p w14:paraId="01168B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（3） 严格按照国家卫生健康委员会颁布的《医院医用织物洗涤消毒技术规范》 要求洗涤、消毒采购</w:t>
      </w:r>
    </w:p>
    <w:p w14:paraId="6163B2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人布草。如因中标人未按照正确的洗涤方法造成布草非正常耗损的需给予照价赔偿。</w:t>
      </w:r>
    </w:p>
    <w:p w14:paraId="0974F0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（4） 被服的折叠、熨烫不符合采购人质量标准扣该件布草洗涤费用，从洗涤费中减除。</w:t>
      </w:r>
    </w:p>
    <w:p w14:paraId="5A073D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（5） 洗涤服务机构配送时布草破损，掉扣子、松紧带未更换、洗涤不干净、扣该件布草洗涤费用，</w:t>
      </w:r>
    </w:p>
    <w:p w14:paraId="77E1205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从洗涤费中扣除。</w:t>
      </w:r>
    </w:p>
    <w:p w14:paraId="4AB2262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（6） 被服修补颜色不相同的、衣服补钉扣子颜色不相同的、扣该件布草洗涤费用，从洗涤费中扣除。</w:t>
      </w:r>
    </w:p>
    <w:p w14:paraId="711D1F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（7） 由于中标人原因，造成各种被服丢失的，须照价赔偿。</w:t>
      </w:r>
    </w:p>
    <w:p w14:paraId="2142F4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（8） 被服送错洗涤服务机构每件扣 1 元；造成影响临床科室使用的，每件加扣 2 元。</w:t>
      </w:r>
    </w:p>
    <w:p w14:paraId="10BD80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（9） 被服没有按时下送，拖延时间超过 30 分钟以上的每次扣 200 元，造成影响手术的每次扣 500 元； 或因被服洗涤质量原因，造成影响手术的每次最低扣除 1000 元；因停水、停电、锅炉坏（三天以上）及不可抗力因素的可以免责，但要及时做好补救工作，不能影响医院工作的正常开展。</w:t>
      </w:r>
    </w:p>
    <w:p w14:paraId="65F21B7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（10） 在收送被服时，不按照专车专用的，发现一次扣 100-1000 元。</w:t>
      </w:r>
    </w:p>
    <w:p w14:paraId="78F048E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（11） 在洗涤过程中，不按消毒工作制度操作的，每发现一次扣 100-1000 元； 不分类洗涤，同机混</w:t>
      </w:r>
    </w:p>
    <w:p w14:paraId="3AB727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装混洗，每发现一次扣 100-1000 元。</w:t>
      </w:r>
    </w:p>
    <w:p w14:paraId="1B12D7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（12） 被医院科室投诉，经核属实每次扣 10 元-500 元。</w:t>
      </w:r>
    </w:p>
    <w:p w14:paraId="592429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（13） 不配合医院工作，不接受监督检查的每次扣 100 元，对医院工作直接造成影响的，根据实际</w:t>
      </w:r>
    </w:p>
    <w:p w14:paraId="118DD39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情况每次扣 500-10000 元。</w:t>
      </w:r>
    </w:p>
    <w:p w14:paraId="6B6D469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（14） 干净被服储存未按院感要求进行储存的，达不到感控标准的，每次扣罚 500 元。</w:t>
      </w:r>
    </w:p>
    <w:p w14:paraId="1E77CB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（15） 洗涤服务机构必须在规定的时间内接送采购人需洗涤的物品，杜绝欠条（特殊情况除外）。如有拖延情况影响采购人工作的正常开展，采购人可以根据实际情况扣除 100-500 惩罚，从洗涤费中扣除。</w:t>
      </w:r>
    </w:p>
    <w:p w14:paraId="211D82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（16） 洗涤服务机构不按收送标准质量标准完成工作，视情节轻重处罚 50 元-200 元，从洗涤费中</w:t>
      </w:r>
    </w:p>
    <w:p w14:paraId="112422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rPr>
      </w:pPr>
      <w:r>
        <w:rPr>
          <w:rFonts w:hint="eastAsia" w:ascii="宋体" w:hAnsi="宋体" w:eastAsia="宋体" w:cs="宋体"/>
          <w:color w:val="auto"/>
        </w:rPr>
        <w:t>扣除。</w:t>
      </w:r>
    </w:p>
    <w:p w14:paraId="5A791B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rPr>
        <w:t>医院定期对洗涤质量进行满意度测评，测评的内容包括：洗涤的洁净度、收发及时性、整烫的平整度、服务态度等具体内容见考核标准-</w:t>
      </w:r>
      <w:r>
        <w:rPr>
          <w:rFonts w:hint="eastAsia" w:ascii="宋体" w:hAnsi="宋体" w:eastAsia="宋体" w:cs="宋体"/>
          <w:color w:val="auto"/>
          <w:lang w:eastAsia="zh-CN"/>
        </w:rPr>
        <w:t>广西医科大学附属武鸣医院</w:t>
      </w:r>
      <w:r>
        <w:rPr>
          <w:rFonts w:hint="eastAsia" w:ascii="宋体" w:hAnsi="宋体" w:eastAsia="宋体" w:cs="宋体"/>
          <w:color w:val="auto"/>
        </w:rPr>
        <w:t>洗涤工作管理细则。要求每月的平均分≥85 分，如＜85 分，每低一分扣 500 元（即</w:t>
      </w:r>
      <w:r>
        <w:rPr>
          <w:rFonts w:hint="eastAsia" w:ascii="宋体" w:hAnsi="宋体" w:eastAsia="宋体" w:cs="宋体"/>
          <w:color w:val="auto"/>
          <w:lang w:eastAsia="zh-CN"/>
        </w:rPr>
        <w:t>：</w:t>
      </w:r>
      <w:r>
        <w:rPr>
          <w:rFonts w:hint="eastAsia" w:ascii="宋体" w:hAnsi="宋体" w:eastAsia="宋体" w:cs="宋体"/>
          <w:color w:val="auto"/>
        </w:rPr>
        <w:t>=500×（85-X），X 表示实际得分）。连续三月测评均低于 85 分且严重影响医院正常运行时，医院有权</w:t>
      </w:r>
      <w:r>
        <w:rPr>
          <w:rFonts w:hint="eastAsia" w:ascii="宋体" w:hAnsi="宋体" w:eastAsia="宋体" w:cs="宋体"/>
          <w:color w:val="auto"/>
          <w:lang w:eastAsia="zh-CN"/>
        </w:rPr>
        <w:t>解除</w:t>
      </w:r>
      <w:r>
        <w:rPr>
          <w:rFonts w:hint="eastAsia" w:ascii="宋体" w:hAnsi="宋体" w:eastAsia="宋体" w:cs="宋体"/>
          <w:color w:val="auto"/>
        </w:rPr>
        <w:t>合同</w:t>
      </w:r>
      <w:r>
        <w:rPr>
          <w:rFonts w:hint="eastAsia" w:ascii="宋体" w:hAnsi="宋体" w:eastAsia="宋体" w:cs="宋体"/>
          <w:color w:val="auto"/>
          <w:lang w:eastAsia="zh-CN"/>
        </w:rPr>
        <w:t>。</w:t>
      </w:r>
    </w:p>
    <w:p w14:paraId="48E3A4E5">
      <w:pPr>
        <w:rPr>
          <w:rFonts w:hint="eastAsia" w:ascii="Times New Roman" w:hAnsi="Times New Roman" w:eastAsia="宋体" w:cs="Times New Roman"/>
          <w:color w:val="auto"/>
          <w:highlight w:val="none"/>
          <w:lang w:eastAsia="zh-CN"/>
        </w:rPr>
      </w:pPr>
    </w:p>
    <w:p w14:paraId="18BB754B">
      <w:pPr>
        <w:widowControl w:val="0"/>
        <w:adjustRightInd w:val="0"/>
        <w:spacing w:line="420" w:lineRule="atLeast"/>
        <w:jc w:val="left"/>
        <w:textAlignment w:val="baseline"/>
        <w:rPr>
          <w:rFonts w:hint="eastAsia" w:ascii="宋体" w:hAnsi="宋体" w:eastAsia="宋体" w:cs="宋体"/>
          <w:color w:val="auto"/>
          <w:spacing w:val="-2"/>
          <w:kern w:val="0"/>
          <w:sz w:val="32"/>
          <w:szCs w:val="32"/>
          <w:highlight w:val="none"/>
          <w:lang w:val="en-US" w:eastAsia="zh-CN" w:bidi="ar-SA"/>
        </w:rPr>
      </w:pPr>
    </w:p>
    <w:p w14:paraId="22F3CF8F">
      <w:pPr>
        <w:rPr>
          <w:rFonts w:hint="eastAsia" w:ascii="宋体" w:hAnsi="宋体" w:eastAsia="宋体" w:cs="宋体"/>
          <w:color w:val="auto"/>
          <w:spacing w:val="-2"/>
          <w:kern w:val="0"/>
          <w:sz w:val="32"/>
          <w:szCs w:val="32"/>
          <w:highlight w:val="none"/>
          <w:lang w:val="en-US" w:eastAsia="zh-CN" w:bidi="ar-SA"/>
        </w:rPr>
      </w:pPr>
      <w:r>
        <w:rPr>
          <w:rFonts w:hint="eastAsia" w:ascii="宋体" w:hAnsi="宋体" w:eastAsia="宋体" w:cs="宋体"/>
          <w:color w:val="auto"/>
          <w:spacing w:val="-2"/>
          <w:kern w:val="0"/>
          <w:sz w:val="32"/>
          <w:szCs w:val="32"/>
          <w:highlight w:val="none"/>
          <w:lang w:val="en-US" w:eastAsia="zh-CN" w:bidi="ar-SA"/>
        </w:rPr>
        <w:br w:type="page"/>
      </w:r>
    </w:p>
    <w:p w14:paraId="04819B58">
      <w:pPr>
        <w:widowControl w:val="0"/>
        <w:adjustRightInd w:val="0"/>
        <w:spacing w:line="420" w:lineRule="atLeast"/>
        <w:jc w:val="left"/>
        <w:textAlignment w:val="baseline"/>
        <w:rPr>
          <w:rFonts w:hint="eastAsia" w:ascii="Times New Roman" w:hAnsi="Times New Roman" w:eastAsia="宋体" w:cs="Times New Roman"/>
          <w:b/>
          <w:bCs/>
          <w:color w:val="auto"/>
          <w:kern w:val="0"/>
          <w:sz w:val="21"/>
          <w:szCs w:val="24"/>
          <w:highlight w:val="none"/>
          <w:lang w:val="en-US" w:eastAsia="zh-CN" w:bidi="ar-SA"/>
        </w:rPr>
      </w:pPr>
      <w:r>
        <w:rPr>
          <w:rFonts w:hint="eastAsia" w:ascii="宋体" w:hAnsi="宋体" w:eastAsia="宋体" w:cs="宋体"/>
          <w:b/>
          <w:bCs/>
          <w:color w:val="auto"/>
          <w:spacing w:val="-2"/>
          <w:kern w:val="0"/>
          <w:sz w:val="32"/>
          <w:szCs w:val="32"/>
          <w:highlight w:val="none"/>
          <w:lang w:val="en-US" w:eastAsia="zh-CN" w:bidi="ar-SA"/>
        </w:rPr>
        <w:t>附件三：</w:t>
      </w:r>
    </w:p>
    <w:tbl>
      <w:tblPr>
        <w:tblStyle w:val="48"/>
        <w:tblW w:w="11115" w:type="dxa"/>
        <w:tblInd w:w="-751" w:type="dxa"/>
        <w:tblLayout w:type="fixed"/>
        <w:tblCellMar>
          <w:top w:w="0" w:type="dxa"/>
          <w:left w:w="0" w:type="dxa"/>
          <w:bottom w:w="0" w:type="dxa"/>
          <w:right w:w="0" w:type="dxa"/>
        </w:tblCellMar>
      </w:tblPr>
      <w:tblGrid>
        <w:gridCol w:w="585"/>
        <w:gridCol w:w="6495"/>
        <w:gridCol w:w="1155"/>
        <w:gridCol w:w="885"/>
        <w:gridCol w:w="1110"/>
        <w:gridCol w:w="885"/>
      </w:tblGrid>
      <w:tr w14:paraId="1C8D1B62">
        <w:tblPrEx>
          <w:tblCellMar>
            <w:top w:w="0" w:type="dxa"/>
            <w:left w:w="0" w:type="dxa"/>
            <w:bottom w:w="0" w:type="dxa"/>
            <w:right w:w="0" w:type="dxa"/>
          </w:tblCellMar>
        </w:tblPrEx>
        <w:trPr>
          <w:trHeight w:val="780" w:hRule="atLeast"/>
        </w:trPr>
        <w:tc>
          <w:tcPr>
            <w:tcW w:w="11115" w:type="dxa"/>
            <w:gridSpan w:val="6"/>
            <w:tcBorders>
              <w:top w:val="nil"/>
              <w:left w:val="nil"/>
              <w:bottom w:val="nil"/>
              <w:right w:val="nil"/>
            </w:tcBorders>
            <w:noWrap w:val="0"/>
            <w:tcMar>
              <w:top w:w="15" w:type="dxa"/>
              <w:left w:w="15" w:type="dxa"/>
              <w:right w:w="15" w:type="dxa"/>
            </w:tcMar>
            <w:vAlign w:val="center"/>
          </w:tcPr>
          <w:p w14:paraId="4E9521C2">
            <w:pPr>
              <w:keepNext w:val="0"/>
              <w:keepLines w:val="0"/>
              <w:widowControl/>
              <w:suppressLineNumbers w:val="0"/>
              <w:jc w:val="center"/>
              <w:textAlignment w:val="center"/>
              <w:rPr>
                <w:rFonts w:hint="eastAsia" w:ascii="宋体" w:hAnsi="宋体" w:eastAsia="宋体" w:cs="宋体"/>
                <w:b/>
                <w:i w:val="0"/>
                <w:color w:val="auto"/>
                <w:sz w:val="32"/>
                <w:szCs w:val="32"/>
                <w:highlight w:val="none"/>
                <w:u w:val="none"/>
              </w:rPr>
            </w:pPr>
            <w:r>
              <w:rPr>
                <w:rFonts w:hint="eastAsia" w:ascii="宋体" w:hAnsi="宋体" w:eastAsia="宋体" w:cs="宋体"/>
                <w:b/>
                <w:i w:val="0"/>
                <w:color w:val="auto"/>
                <w:kern w:val="0"/>
                <w:sz w:val="32"/>
                <w:szCs w:val="32"/>
                <w:highlight w:val="none"/>
                <w:u w:val="none"/>
                <w:lang w:val="en-US" w:eastAsia="zh-CN" w:bidi="ar"/>
              </w:rPr>
              <w:t xml:space="preserve">广西医科大学附属武鸣医院洗涤工作质量考核表  </w:t>
            </w:r>
          </w:p>
        </w:tc>
      </w:tr>
      <w:tr w14:paraId="6407931A">
        <w:tblPrEx>
          <w:tblCellMar>
            <w:top w:w="0" w:type="dxa"/>
            <w:left w:w="0" w:type="dxa"/>
            <w:bottom w:w="0" w:type="dxa"/>
            <w:right w:w="0" w:type="dxa"/>
          </w:tblCellMar>
        </w:tblPrEx>
        <w:trPr>
          <w:trHeight w:val="360" w:hRule="atLeast"/>
        </w:trPr>
        <w:tc>
          <w:tcPr>
            <w:tcW w:w="11115" w:type="dxa"/>
            <w:gridSpan w:val="6"/>
            <w:tcBorders>
              <w:top w:val="nil"/>
              <w:left w:val="nil"/>
              <w:bottom w:val="nil"/>
              <w:right w:val="nil"/>
            </w:tcBorders>
            <w:noWrap w:val="0"/>
            <w:tcMar>
              <w:top w:w="15" w:type="dxa"/>
              <w:left w:w="15" w:type="dxa"/>
              <w:right w:w="15" w:type="dxa"/>
            </w:tcMar>
            <w:vAlign w:val="center"/>
          </w:tcPr>
          <w:p w14:paraId="168816E3">
            <w:pPr>
              <w:keepNext w:val="0"/>
              <w:keepLines w:val="0"/>
              <w:widowControl/>
              <w:suppressLineNumbers w:val="0"/>
              <w:jc w:val="left"/>
              <w:textAlignment w:val="center"/>
              <w:rPr>
                <w:rFonts w:hint="eastAsia" w:ascii="宋体" w:hAnsi="宋体" w:eastAsia="宋体" w:cs="宋体"/>
                <w:b/>
                <w:i w:val="0"/>
                <w:color w:val="auto"/>
                <w:sz w:val="24"/>
                <w:szCs w:val="24"/>
                <w:highlight w:val="none"/>
                <w:u w:val="none"/>
              </w:rPr>
            </w:pPr>
            <w:r>
              <w:rPr>
                <w:rFonts w:hint="eastAsia" w:ascii="宋体" w:hAnsi="宋体" w:eastAsia="宋体" w:cs="宋体"/>
                <w:b/>
                <w:i w:val="0"/>
                <w:color w:val="auto"/>
                <w:kern w:val="0"/>
                <w:sz w:val="24"/>
                <w:szCs w:val="24"/>
                <w:highlight w:val="none"/>
                <w:u w:val="none"/>
                <w:lang w:val="en-US" w:eastAsia="zh-CN" w:bidi="ar"/>
              </w:rPr>
              <w:t xml:space="preserve">                                                                      202  年   月</w:t>
            </w:r>
          </w:p>
        </w:tc>
      </w:tr>
      <w:tr w14:paraId="405C5C91">
        <w:tblPrEx>
          <w:tblCellMar>
            <w:top w:w="0" w:type="dxa"/>
            <w:left w:w="0" w:type="dxa"/>
            <w:bottom w:w="0" w:type="dxa"/>
            <w:right w:w="0" w:type="dxa"/>
          </w:tblCellMar>
        </w:tblPrEx>
        <w:trPr>
          <w:trHeight w:val="540" w:hRule="atLeast"/>
        </w:trPr>
        <w:tc>
          <w:tcPr>
            <w:tcW w:w="5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69A312">
            <w:pPr>
              <w:keepNext w:val="0"/>
              <w:keepLines w:val="0"/>
              <w:widowControl/>
              <w:suppressLineNumbers w:val="0"/>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考核项目</w:t>
            </w:r>
          </w:p>
        </w:tc>
        <w:tc>
          <w:tcPr>
            <w:tcW w:w="6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4250B8">
            <w:pPr>
              <w:keepNext w:val="0"/>
              <w:keepLines w:val="0"/>
              <w:widowControl/>
              <w:suppressLineNumbers w:val="0"/>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考评内容 （考评标准）</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A37CB1">
            <w:pPr>
              <w:keepNext w:val="0"/>
              <w:keepLines w:val="0"/>
              <w:widowControl/>
              <w:suppressLineNumbers w:val="0"/>
              <w:jc w:val="center"/>
              <w:textAlignment w:val="center"/>
              <w:rPr>
                <w:rFonts w:hint="eastAsia" w:ascii="宋体" w:hAnsi="宋体" w:eastAsia="宋体" w:cs="宋体"/>
                <w:b/>
                <w:i w:val="0"/>
                <w:color w:val="auto"/>
                <w:kern w:val="0"/>
                <w:sz w:val="21"/>
                <w:szCs w:val="21"/>
                <w:highlight w:val="none"/>
                <w:u w:val="none"/>
                <w:lang w:val="en-US" w:eastAsia="zh-CN" w:bidi="ar"/>
              </w:rPr>
            </w:pPr>
            <w:r>
              <w:rPr>
                <w:rFonts w:hint="eastAsia" w:ascii="宋体" w:hAnsi="宋体" w:eastAsia="宋体" w:cs="宋体"/>
                <w:b/>
                <w:i w:val="0"/>
                <w:color w:val="auto"/>
                <w:kern w:val="0"/>
                <w:sz w:val="21"/>
                <w:szCs w:val="21"/>
                <w:highlight w:val="none"/>
                <w:u w:val="none"/>
                <w:lang w:val="en-US" w:eastAsia="zh-CN" w:bidi="ar"/>
              </w:rPr>
              <w:t>分值</w:t>
            </w:r>
          </w:p>
          <w:p w14:paraId="2BAB61A0">
            <w:pPr>
              <w:keepNext w:val="0"/>
              <w:keepLines w:val="0"/>
              <w:widowControl/>
              <w:suppressLineNumbers w:val="0"/>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（酌情在区间内打分）</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68D4FF">
            <w:pPr>
              <w:keepNext w:val="0"/>
              <w:keepLines w:val="0"/>
              <w:widowControl/>
              <w:suppressLineNumbers w:val="0"/>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考评结果</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F0ACF5">
            <w:pPr>
              <w:keepNext w:val="0"/>
              <w:keepLines w:val="0"/>
              <w:widowControl/>
              <w:suppressLineNumbers w:val="0"/>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得分</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6E2B29">
            <w:pPr>
              <w:keepNext w:val="0"/>
              <w:keepLines w:val="0"/>
              <w:widowControl/>
              <w:suppressLineNumbers w:val="0"/>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考评部门</w:t>
            </w:r>
          </w:p>
        </w:tc>
      </w:tr>
      <w:tr w14:paraId="5C8CB58D">
        <w:tblPrEx>
          <w:tblCellMar>
            <w:top w:w="0" w:type="dxa"/>
            <w:left w:w="0" w:type="dxa"/>
            <w:bottom w:w="0" w:type="dxa"/>
            <w:right w:w="0" w:type="dxa"/>
          </w:tblCellMar>
        </w:tblPrEx>
        <w:trPr>
          <w:trHeight w:val="1440" w:hRule="atLeast"/>
        </w:trPr>
        <w:tc>
          <w:tcPr>
            <w:tcW w:w="5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343443">
            <w:pPr>
              <w:keepNext w:val="0"/>
              <w:keepLines w:val="0"/>
              <w:widowControl/>
              <w:suppressLineNumbers w:val="0"/>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洗涤作业程序</w:t>
            </w:r>
          </w:p>
        </w:tc>
        <w:tc>
          <w:tcPr>
            <w:tcW w:w="6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C9F00D">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洗衣房的作业应按照收集、运输、分类打包、洗涤、脱水、烘干、熨烫、折叠、储存（打包）、 分送等步骤，洁净物品在储存（打包、分类）前应检查有无破损、掉线、掉扣、毛边、污渍洗不掉的现象。新布草应印上医院、科室的标识后，需进行漂洗，才可与干净布草一起放置，以便待送。</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8D73FF">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优：5</w:t>
            </w:r>
          </w:p>
          <w:p w14:paraId="4AEBA772">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良：3</w:t>
            </w:r>
          </w:p>
          <w:p w14:paraId="71DD6409">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差：1</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D69493">
            <w:pPr>
              <w:jc w:val="center"/>
              <w:rPr>
                <w:rFonts w:hint="eastAsia" w:ascii="宋体" w:hAnsi="宋体" w:eastAsia="宋体" w:cs="宋体"/>
                <w:i w:val="0"/>
                <w:color w:val="auto"/>
                <w:sz w:val="21"/>
                <w:szCs w:val="21"/>
                <w:highlight w:val="none"/>
                <w:u w:val="none"/>
              </w:rPr>
            </w:pP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F57278">
            <w:pPr>
              <w:jc w:val="center"/>
              <w:rPr>
                <w:rFonts w:hint="eastAsia" w:ascii="宋体" w:hAnsi="宋体" w:eastAsia="宋体" w:cs="宋体"/>
                <w:i w:val="0"/>
                <w:color w:val="auto"/>
                <w:sz w:val="21"/>
                <w:szCs w:val="21"/>
                <w:highlight w:val="none"/>
                <w:u w:val="none"/>
              </w:rPr>
            </w:pP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0EAA28">
            <w:pPr>
              <w:rPr>
                <w:rFonts w:hint="eastAsia" w:ascii="宋体" w:hAnsi="宋体" w:eastAsia="宋体" w:cs="宋体"/>
                <w:i w:val="0"/>
                <w:color w:val="auto"/>
                <w:sz w:val="21"/>
                <w:szCs w:val="21"/>
                <w:highlight w:val="none"/>
                <w:u w:val="none"/>
              </w:rPr>
            </w:pPr>
          </w:p>
        </w:tc>
      </w:tr>
      <w:tr w14:paraId="7BE0B178">
        <w:tblPrEx>
          <w:tblCellMar>
            <w:top w:w="0" w:type="dxa"/>
            <w:left w:w="0" w:type="dxa"/>
            <w:bottom w:w="0" w:type="dxa"/>
            <w:right w:w="0" w:type="dxa"/>
          </w:tblCellMar>
        </w:tblPrEx>
        <w:trPr>
          <w:trHeight w:val="4700" w:hRule="atLeast"/>
        </w:trPr>
        <w:tc>
          <w:tcPr>
            <w:tcW w:w="5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A5939B">
            <w:pPr>
              <w:keepNext w:val="0"/>
              <w:keepLines w:val="0"/>
              <w:widowControl/>
              <w:suppressLineNumbers w:val="0"/>
              <w:jc w:val="left"/>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收集与分类</w:t>
            </w:r>
          </w:p>
        </w:tc>
        <w:tc>
          <w:tcPr>
            <w:tcW w:w="6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80EACD">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1.收送推车要分为干净用车、脏污用车，并印上标识，实行专车专用。</w:t>
            </w:r>
            <w:r>
              <w:rPr>
                <w:rFonts w:hint="eastAsia" w:ascii="宋体" w:hAnsi="宋体" w:eastAsia="宋体" w:cs="宋体"/>
                <w:i w:val="0"/>
                <w:color w:val="auto"/>
                <w:kern w:val="0"/>
                <w:sz w:val="21"/>
                <w:szCs w:val="21"/>
                <w:highlight w:val="none"/>
                <w:u w:val="none"/>
                <w:lang w:val="en-US" w:eastAsia="zh-CN" w:bidi="ar"/>
              </w:rPr>
              <w:br w:type="textWrapping"/>
            </w:r>
            <w:r>
              <w:rPr>
                <w:rFonts w:hint="eastAsia" w:ascii="宋体" w:hAnsi="宋体" w:eastAsia="宋体" w:cs="宋体"/>
                <w:i w:val="0"/>
                <w:color w:val="auto"/>
                <w:kern w:val="0"/>
                <w:sz w:val="21"/>
                <w:szCs w:val="21"/>
                <w:highlight w:val="none"/>
                <w:u w:val="none"/>
                <w:lang w:val="en-US" w:eastAsia="zh-CN" w:bidi="ar"/>
              </w:rPr>
              <w:t>2、干净用车要分为病人被服用车，工作服专用车。下送各种干净被服时，做到专车专用，推送干净衣服要打包好，不允许裸露，并在车上盖上干净布单，只允许走干净电梯运输。</w:t>
            </w:r>
            <w:r>
              <w:rPr>
                <w:rFonts w:hint="eastAsia" w:ascii="宋体" w:hAnsi="宋体" w:eastAsia="宋体" w:cs="宋体"/>
                <w:i w:val="0"/>
                <w:color w:val="auto"/>
                <w:kern w:val="0"/>
                <w:sz w:val="21"/>
                <w:szCs w:val="21"/>
                <w:highlight w:val="none"/>
                <w:u w:val="none"/>
                <w:lang w:val="en-US" w:eastAsia="zh-CN" w:bidi="ar"/>
              </w:rPr>
              <w:br w:type="textWrapping"/>
            </w:r>
            <w:r>
              <w:rPr>
                <w:rFonts w:hint="eastAsia" w:ascii="宋体" w:hAnsi="宋体" w:eastAsia="宋体" w:cs="宋体"/>
                <w:i w:val="0"/>
                <w:color w:val="auto"/>
                <w:kern w:val="0"/>
                <w:sz w:val="21"/>
                <w:szCs w:val="21"/>
                <w:highlight w:val="none"/>
                <w:u w:val="none"/>
                <w:lang w:val="en-US" w:eastAsia="zh-CN" w:bidi="ar"/>
              </w:rPr>
              <w:t>3、脏污用车要分为病人被服专用车，工作服专用车。各种脏污被服要分别收集分别打包运送，特别是污染上传染病菌的特殊的脏污被服单独处理。</w:t>
            </w:r>
            <w:r>
              <w:rPr>
                <w:rFonts w:hint="eastAsia" w:ascii="宋体" w:hAnsi="宋体" w:eastAsia="宋体" w:cs="宋体"/>
                <w:i w:val="0"/>
                <w:color w:val="auto"/>
                <w:kern w:val="0"/>
                <w:sz w:val="21"/>
                <w:szCs w:val="21"/>
                <w:highlight w:val="none"/>
                <w:u w:val="none"/>
                <w:lang w:val="en-US" w:eastAsia="zh-CN" w:bidi="ar"/>
              </w:rPr>
              <w:br w:type="textWrapping"/>
            </w:r>
            <w:r>
              <w:rPr>
                <w:rFonts w:hint="eastAsia" w:ascii="宋体" w:hAnsi="宋体" w:eastAsia="宋体" w:cs="宋体"/>
                <w:i w:val="0"/>
                <w:color w:val="auto"/>
                <w:kern w:val="0"/>
                <w:sz w:val="21"/>
                <w:szCs w:val="21"/>
                <w:highlight w:val="none"/>
                <w:u w:val="none"/>
                <w:lang w:val="en-US" w:eastAsia="zh-CN" w:bidi="ar"/>
              </w:rPr>
              <w:t>4、为了防止交叉感染，不管在什么情况下收集脏污被服时，都不能在病房随便抖动，推送脏被服要 在车上盖上干净布单才能运出病区污染区，并走污物电梯运输。</w:t>
            </w:r>
            <w:r>
              <w:rPr>
                <w:rFonts w:hint="eastAsia" w:ascii="宋体" w:hAnsi="宋体" w:eastAsia="宋体" w:cs="宋体"/>
                <w:i w:val="0"/>
                <w:color w:val="auto"/>
                <w:kern w:val="0"/>
                <w:sz w:val="21"/>
                <w:szCs w:val="21"/>
                <w:highlight w:val="none"/>
                <w:u w:val="none"/>
                <w:lang w:val="en-US" w:eastAsia="zh-CN" w:bidi="ar"/>
              </w:rPr>
              <w:br w:type="textWrapping"/>
            </w:r>
            <w:r>
              <w:rPr>
                <w:rFonts w:hint="eastAsia" w:ascii="宋体" w:hAnsi="宋体" w:eastAsia="宋体" w:cs="宋体"/>
                <w:i w:val="0"/>
                <w:color w:val="auto"/>
                <w:kern w:val="0"/>
                <w:sz w:val="21"/>
                <w:szCs w:val="21"/>
                <w:highlight w:val="none"/>
                <w:u w:val="none"/>
                <w:lang w:val="en-US" w:eastAsia="zh-CN" w:bidi="ar"/>
              </w:rPr>
              <w:t>5、收完脏污被服后，收送人员在送干净被服前必须将身上脏衣服及鞋子换下，经过7个步骤洗手， 换穿上干净工作服后才能下送各种干净被服。</w:t>
            </w:r>
            <w:r>
              <w:rPr>
                <w:rFonts w:hint="eastAsia" w:ascii="宋体" w:hAnsi="宋体" w:eastAsia="宋体" w:cs="宋体"/>
                <w:i w:val="0"/>
                <w:color w:val="auto"/>
                <w:kern w:val="0"/>
                <w:sz w:val="21"/>
                <w:szCs w:val="21"/>
                <w:highlight w:val="none"/>
                <w:u w:val="none"/>
                <w:lang w:val="en-US" w:eastAsia="zh-CN" w:bidi="ar"/>
              </w:rPr>
              <w:br w:type="textWrapping"/>
            </w:r>
            <w:r>
              <w:rPr>
                <w:rFonts w:hint="eastAsia" w:ascii="宋体" w:hAnsi="宋体" w:eastAsia="宋体" w:cs="宋体"/>
                <w:i w:val="0"/>
                <w:color w:val="auto"/>
                <w:kern w:val="0"/>
                <w:sz w:val="21"/>
                <w:szCs w:val="21"/>
                <w:highlight w:val="none"/>
                <w:u w:val="none"/>
                <w:lang w:val="en-US" w:eastAsia="zh-CN" w:bidi="ar"/>
              </w:rPr>
              <w:t>6、运输车辆，要分脏物运输车和干净运输车，严格专车专用。每天要进行消毒。</w:t>
            </w:r>
            <w:r>
              <w:rPr>
                <w:rFonts w:hint="eastAsia" w:ascii="宋体" w:hAnsi="宋体" w:eastAsia="宋体" w:cs="宋体"/>
                <w:i w:val="0"/>
                <w:color w:val="auto"/>
                <w:kern w:val="0"/>
                <w:sz w:val="21"/>
                <w:szCs w:val="21"/>
                <w:highlight w:val="none"/>
                <w:u w:val="none"/>
                <w:lang w:val="en-US" w:eastAsia="zh-CN" w:bidi="ar"/>
              </w:rPr>
              <w:br w:type="textWrapping"/>
            </w:r>
            <w:r>
              <w:rPr>
                <w:rFonts w:hint="eastAsia" w:ascii="宋体" w:hAnsi="宋体" w:eastAsia="宋体" w:cs="宋体"/>
                <w:i w:val="0"/>
                <w:color w:val="auto"/>
                <w:kern w:val="0"/>
                <w:sz w:val="21"/>
                <w:szCs w:val="21"/>
                <w:highlight w:val="none"/>
                <w:u w:val="none"/>
                <w:lang w:val="en-US" w:eastAsia="zh-CN" w:bidi="ar"/>
              </w:rPr>
              <w:t>7、收脏被服推车每天要进行消毒 2 次（中午、下午），干净推车每天消毒1次。</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DCE52F">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优：5</w:t>
            </w:r>
          </w:p>
          <w:p w14:paraId="7F97C707">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良：3</w:t>
            </w:r>
          </w:p>
          <w:p w14:paraId="7BFE6F9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差：1</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F8C319">
            <w:pPr>
              <w:jc w:val="center"/>
              <w:rPr>
                <w:rFonts w:hint="eastAsia" w:ascii="宋体" w:hAnsi="宋体" w:eastAsia="宋体" w:cs="宋体"/>
                <w:i w:val="0"/>
                <w:color w:val="auto"/>
                <w:sz w:val="21"/>
                <w:szCs w:val="21"/>
                <w:highlight w:val="none"/>
                <w:u w:val="none"/>
              </w:rPr>
            </w:pP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561392">
            <w:pPr>
              <w:jc w:val="center"/>
              <w:rPr>
                <w:rFonts w:hint="eastAsia" w:ascii="宋体" w:hAnsi="宋体" w:eastAsia="宋体" w:cs="宋体"/>
                <w:i w:val="0"/>
                <w:color w:val="auto"/>
                <w:sz w:val="21"/>
                <w:szCs w:val="21"/>
                <w:highlight w:val="none"/>
                <w:u w:val="none"/>
              </w:rPr>
            </w:pP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E464BC">
            <w:pPr>
              <w:rPr>
                <w:rFonts w:hint="eastAsia" w:ascii="宋体" w:hAnsi="宋体" w:eastAsia="宋体" w:cs="宋体"/>
                <w:i w:val="0"/>
                <w:color w:val="auto"/>
                <w:sz w:val="21"/>
                <w:szCs w:val="21"/>
                <w:highlight w:val="none"/>
                <w:u w:val="none"/>
              </w:rPr>
            </w:pPr>
          </w:p>
        </w:tc>
      </w:tr>
      <w:tr w14:paraId="015EA772">
        <w:tblPrEx>
          <w:tblCellMar>
            <w:top w:w="0" w:type="dxa"/>
            <w:left w:w="0" w:type="dxa"/>
            <w:bottom w:w="0" w:type="dxa"/>
            <w:right w:w="0" w:type="dxa"/>
          </w:tblCellMar>
        </w:tblPrEx>
        <w:trPr>
          <w:trHeight w:val="4500" w:hRule="atLeast"/>
        </w:trPr>
        <w:tc>
          <w:tcPr>
            <w:tcW w:w="58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276DAB">
            <w:pPr>
              <w:keepNext w:val="0"/>
              <w:keepLines w:val="0"/>
              <w:widowControl/>
              <w:suppressLineNumbers w:val="0"/>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洗涤质量标准</w:t>
            </w:r>
          </w:p>
        </w:tc>
        <w:tc>
          <w:tcPr>
            <w:tcW w:w="6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FCA6A1">
            <w:pPr>
              <w:keepNext w:val="0"/>
              <w:keepLines w:val="0"/>
              <w:widowControl/>
              <w:suppressLineNumbers w:val="0"/>
              <w:jc w:val="left"/>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布草洗涤质量标准</w:t>
            </w:r>
            <w:r>
              <w:rPr>
                <w:rFonts w:hint="eastAsia" w:ascii="宋体" w:hAnsi="宋体" w:eastAsia="宋体" w:cs="宋体"/>
                <w:b/>
                <w:i w:val="0"/>
                <w:color w:val="auto"/>
                <w:kern w:val="0"/>
                <w:sz w:val="21"/>
                <w:szCs w:val="21"/>
                <w:highlight w:val="none"/>
                <w:u w:val="none"/>
                <w:lang w:val="en-US" w:eastAsia="zh-CN" w:bidi="ar"/>
              </w:rPr>
              <w:br w:type="textWrapping"/>
            </w:r>
            <w:r>
              <w:rPr>
                <w:rStyle w:val="134"/>
                <w:color w:val="auto"/>
                <w:highlight w:val="none"/>
                <w:lang w:val="en-US" w:eastAsia="zh-CN" w:bidi="ar"/>
              </w:rPr>
              <w:t>（1）洗涤必须严格遵守卫生行政管理部门有关规定及洗衣房洗涤消毒工作制度，在洗涤被污染的布草前，应先用消毒剂按配比进行浸泡30分钟，然后用清水洗净，再投入机内按程序洗涤，（大便污染布、乙肝、艾滋等传染病布类，由使用科室通知洗涤公司，用红色袋子单独包装），分别浸泡蒸煮消毒后再洗涤。布草的消毒洗涤必须遵守分类原则，医护工作服单独洗；小孩服、PICU布类、康复中心布类等儿科布草单独洗；产科、妇科床单、大人病号服等妇产科布草单独洗；手术室布类单独洗（洗手衣除外）；洗手衣单独洗； 供应室白布单独洗；新生儿科、供应室、手术室等科室布类专机专洗。</w:t>
            </w:r>
            <w:r>
              <w:rPr>
                <w:rStyle w:val="134"/>
                <w:color w:val="auto"/>
                <w:highlight w:val="none"/>
                <w:lang w:val="en-US" w:eastAsia="zh-CN" w:bidi="ar"/>
              </w:rPr>
              <w:br w:type="textWrapping"/>
            </w:r>
            <w:r>
              <w:rPr>
                <w:rStyle w:val="134"/>
                <w:color w:val="auto"/>
                <w:highlight w:val="none"/>
                <w:lang w:val="en-US" w:eastAsia="zh-CN" w:bidi="ar"/>
              </w:rPr>
              <w:t>（2）洗衣机的水温必须达到消毒的作用，烘干机用气要达到被服烘干透，不允许潮湿。</w:t>
            </w:r>
            <w:r>
              <w:rPr>
                <w:rStyle w:val="134"/>
                <w:color w:val="auto"/>
                <w:highlight w:val="none"/>
                <w:lang w:val="en-US" w:eastAsia="zh-CN" w:bidi="ar"/>
              </w:rPr>
              <w:br w:type="textWrapping"/>
            </w:r>
            <w:r>
              <w:rPr>
                <w:rStyle w:val="134"/>
                <w:color w:val="auto"/>
                <w:highlight w:val="none"/>
                <w:lang w:val="en-US" w:eastAsia="zh-CN" w:bidi="ar"/>
              </w:rPr>
              <w:t>（3）洗涤后的被服布类外观洁净、无皱褶，无明显可以洗脱、去除的污渍，无异味、串色，白色布类要求整体面洁白、颜色布类整体面鲜艳，有光泽感，清新透亮，布类整体无任何常规污垢的残迹（如色素黄斑、油脂等）；洗好的布类无残留漂白剂的氯气味、洗衣粉味。</w:t>
            </w:r>
            <w:r>
              <w:rPr>
                <w:rStyle w:val="134"/>
                <w:color w:val="auto"/>
                <w:highlight w:val="none"/>
                <w:lang w:val="en-US" w:eastAsia="zh-CN" w:bidi="ar"/>
              </w:rPr>
              <w:br w:type="textWrapping"/>
            </w:r>
            <w:r>
              <w:rPr>
                <w:rStyle w:val="134"/>
                <w:color w:val="auto"/>
                <w:highlight w:val="none"/>
                <w:lang w:val="en-US" w:eastAsia="zh-CN" w:bidi="ar"/>
              </w:rPr>
              <w:t>（4）被粪便污染（或包有粪便）的被服洗涤公司不能收取额外费用。</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8591F6">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优：5</w:t>
            </w:r>
          </w:p>
          <w:p w14:paraId="0EB7272C">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良：3</w:t>
            </w:r>
          </w:p>
          <w:p w14:paraId="0912F76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差：1</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F5A0F6">
            <w:pPr>
              <w:jc w:val="center"/>
              <w:rPr>
                <w:rFonts w:hint="eastAsia" w:ascii="宋体" w:hAnsi="宋体" w:eastAsia="宋体" w:cs="宋体"/>
                <w:i w:val="0"/>
                <w:color w:val="auto"/>
                <w:sz w:val="21"/>
                <w:szCs w:val="21"/>
                <w:highlight w:val="none"/>
                <w:u w:val="none"/>
              </w:rPr>
            </w:pP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59843B">
            <w:pPr>
              <w:jc w:val="center"/>
              <w:rPr>
                <w:rFonts w:hint="eastAsia" w:ascii="宋体" w:hAnsi="宋体" w:eastAsia="宋体" w:cs="宋体"/>
                <w:i w:val="0"/>
                <w:color w:val="auto"/>
                <w:sz w:val="21"/>
                <w:szCs w:val="21"/>
                <w:highlight w:val="none"/>
                <w:u w:val="none"/>
              </w:rPr>
            </w:pP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8B97E6">
            <w:pPr>
              <w:rPr>
                <w:rFonts w:hint="eastAsia" w:ascii="宋体" w:hAnsi="宋体" w:eastAsia="宋体" w:cs="宋体"/>
                <w:i w:val="0"/>
                <w:color w:val="auto"/>
                <w:sz w:val="21"/>
                <w:szCs w:val="21"/>
                <w:highlight w:val="none"/>
                <w:u w:val="none"/>
              </w:rPr>
            </w:pPr>
          </w:p>
        </w:tc>
      </w:tr>
      <w:tr w14:paraId="09661DC6">
        <w:tblPrEx>
          <w:tblCellMar>
            <w:top w:w="0" w:type="dxa"/>
            <w:left w:w="0" w:type="dxa"/>
            <w:bottom w:w="0" w:type="dxa"/>
            <w:right w:w="0" w:type="dxa"/>
          </w:tblCellMar>
        </w:tblPrEx>
        <w:trPr>
          <w:trHeight w:val="2920" w:hRule="atLeast"/>
        </w:trPr>
        <w:tc>
          <w:tcPr>
            <w:tcW w:w="5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C6996A">
            <w:pPr>
              <w:jc w:val="center"/>
              <w:rPr>
                <w:rFonts w:hint="eastAsia" w:ascii="宋体" w:hAnsi="宋体" w:eastAsia="宋体" w:cs="宋体"/>
                <w:b/>
                <w:i w:val="0"/>
                <w:color w:val="auto"/>
                <w:sz w:val="21"/>
                <w:szCs w:val="21"/>
                <w:highlight w:val="none"/>
                <w:u w:val="none"/>
              </w:rPr>
            </w:pPr>
          </w:p>
        </w:tc>
        <w:tc>
          <w:tcPr>
            <w:tcW w:w="6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ED8EB8">
            <w:pPr>
              <w:keepNext w:val="0"/>
              <w:keepLines w:val="0"/>
              <w:widowControl/>
              <w:suppressLineNumbers w:val="0"/>
              <w:jc w:val="left"/>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布草折叠、熨烫的质量标准</w:t>
            </w:r>
            <w:r>
              <w:rPr>
                <w:rFonts w:hint="eastAsia" w:ascii="宋体" w:hAnsi="宋体" w:eastAsia="宋体" w:cs="宋体"/>
                <w:b/>
                <w:i w:val="0"/>
                <w:color w:val="auto"/>
                <w:kern w:val="0"/>
                <w:sz w:val="21"/>
                <w:szCs w:val="21"/>
                <w:highlight w:val="none"/>
                <w:u w:val="none"/>
                <w:lang w:val="en-US" w:eastAsia="zh-CN" w:bidi="ar"/>
              </w:rPr>
              <w:br w:type="textWrapping"/>
            </w:r>
            <w:r>
              <w:rPr>
                <w:rStyle w:val="134"/>
                <w:color w:val="auto"/>
                <w:highlight w:val="none"/>
                <w:lang w:val="en-US" w:eastAsia="zh-CN" w:bidi="ar"/>
              </w:rPr>
              <w:t>（1）按各种布类的折叠方法进行折叠。折叠后的所有布类平整、无穿孔、无缺损、无黏附物。</w:t>
            </w:r>
            <w:r>
              <w:rPr>
                <w:rStyle w:val="134"/>
                <w:color w:val="auto"/>
                <w:highlight w:val="none"/>
                <w:lang w:val="en-US" w:eastAsia="zh-CN" w:bidi="ar"/>
              </w:rPr>
              <w:br w:type="textWrapping"/>
            </w:r>
            <w:r>
              <w:rPr>
                <w:rStyle w:val="134"/>
                <w:color w:val="auto"/>
                <w:highlight w:val="none"/>
                <w:lang w:val="en-US" w:eastAsia="zh-CN" w:bidi="ar"/>
              </w:rPr>
              <w:t>（2）根据需求对特殊衣物进行熨烫。经熨烫的被服平整，无双重痕迹和不规则熨烫。</w:t>
            </w:r>
            <w:r>
              <w:rPr>
                <w:rStyle w:val="134"/>
                <w:color w:val="auto"/>
                <w:highlight w:val="none"/>
                <w:lang w:val="en-US" w:eastAsia="zh-CN" w:bidi="ar"/>
              </w:rPr>
              <w:br w:type="textWrapping"/>
            </w:r>
            <w:r>
              <w:rPr>
                <w:rStyle w:val="134"/>
                <w:color w:val="auto"/>
                <w:highlight w:val="none"/>
                <w:lang w:val="en-US" w:eastAsia="zh-CN" w:bidi="ar"/>
              </w:rPr>
              <w:t>（3）具有缝补、修改价值的布草（重新裁剪使用），缝补部位采用合适的缝布、缝针、缝线，纽扣及缝补方式，缝补后的衣物实用、美观、并保持原用途，缝补使用的材料（扣、线、松紧带等配件由洗涤公司提供）。</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CBDC4F">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优：5</w:t>
            </w:r>
          </w:p>
          <w:p w14:paraId="420F5188">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良：3</w:t>
            </w:r>
          </w:p>
          <w:p w14:paraId="71ABB47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差：1</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AC2A7A">
            <w:pPr>
              <w:jc w:val="center"/>
              <w:rPr>
                <w:rFonts w:hint="eastAsia" w:ascii="宋体" w:hAnsi="宋体" w:eastAsia="宋体" w:cs="宋体"/>
                <w:i w:val="0"/>
                <w:color w:val="auto"/>
                <w:sz w:val="21"/>
                <w:szCs w:val="21"/>
                <w:highlight w:val="none"/>
                <w:u w:val="none"/>
              </w:rPr>
            </w:pP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71D3FF">
            <w:pPr>
              <w:jc w:val="center"/>
              <w:rPr>
                <w:rFonts w:hint="eastAsia" w:ascii="宋体" w:hAnsi="宋体" w:eastAsia="宋体" w:cs="宋体"/>
                <w:i w:val="0"/>
                <w:color w:val="auto"/>
                <w:sz w:val="21"/>
                <w:szCs w:val="21"/>
                <w:highlight w:val="none"/>
                <w:u w:val="none"/>
              </w:rPr>
            </w:pP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D473C1">
            <w:pPr>
              <w:rPr>
                <w:rFonts w:hint="eastAsia" w:ascii="宋体" w:hAnsi="宋体" w:eastAsia="宋体" w:cs="宋体"/>
                <w:i w:val="0"/>
                <w:color w:val="auto"/>
                <w:sz w:val="21"/>
                <w:szCs w:val="21"/>
                <w:highlight w:val="none"/>
                <w:u w:val="none"/>
              </w:rPr>
            </w:pPr>
          </w:p>
        </w:tc>
      </w:tr>
      <w:tr w14:paraId="2FCF8928">
        <w:tblPrEx>
          <w:tblCellMar>
            <w:top w:w="0" w:type="dxa"/>
            <w:left w:w="0" w:type="dxa"/>
            <w:bottom w:w="0" w:type="dxa"/>
            <w:right w:w="0" w:type="dxa"/>
          </w:tblCellMar>
        </w:tblPrEx>
        <w:trPr>
          <w:trHeight w:val="3760" w:hRule="atLeast"/>
        </w:trPr>
        <w:tc>
          <w:tcPr>
            <w:tcW w:w="5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9BB109">
            <w:pPr>
              <w:jc w:val="center"/>
              <w:rPr>
                <w:rFonts w:hint="eastAsia" w:ascii="宋体" w:hAnsi="宋体" w:eastAsia="宋体" w:cs="宋体"/>
                <w:b/>
                <w:i w:val="0"/>
                <w:color w:val="auto"/>
                <w:sz w:val="21"/>
                <w:szCs w:val="21"/>
                <w:highlight w:val="none"/>
                <w:u w:val="none"/>
              </w:rPr>
            </w:pPr>
          </w:p>
        </w:tc>
        <w:tc>
          <w:tcPr>
            <w:tcW w:w="6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58B0CE">
            <w:pPr>
              <w:keepNext w:val="0"/>
              <w:keepLines w:val="0"/>
              <w:widowControl/>
              <w:suppressLineNumbers w:val="0"/>
              <w:jc w:val="left"/>
              <w:textAlignment w:val="center"/>
              <w:rPr>
                <w:rFonts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布草收送质量标准</w:t>
            </w:r>
            <w:r>
              <w:rPr>
                <w:rFonts w:hint="eastAsia" w:ascii="Times New Roman" w:hAnsi="Times New Roman" w:eastAsia="宋体" w:cs="Times New Roman"/>
                <w:color w:val="auto"/>
                <w:highlight w:val="none"/>
                <w:lang w:val="en-US" w:eastAsia="zh-CN"/>
              </w:rPr>
              <w:br w:type="textWrapping"/>
            </w:r>
            <w:r>
              <w:rPr>
                <w:rFonts w:ascii="Times New Roman" w:hAnsi="Times New Roman" w:eastAsia="宋体" w:cs="Times New Roman"/>
                <w:color w:val="auto"/>
                <w:highlight w:val="none"/>
                <w:lang w:val="en-US" w:eastAsia="zh-CN"/>
              </w:rPr>
              <w:t>（1）牢固树立服务思想，热情为临床服务，爱护医院物品。</w:t>
            </w:r>
            <w:r>
              <w:rPr>
                <w:rFonts w:ascii="Times New Roman" w:hAnsi="Times New Roman" w:eastAsia="宋体" w:cs="Times New Roman"/>
                <w:color w:val="auto"/>
                <w:highlight w:val="none"/>
                <w:lang w:val="en-US" w:eastAsia="zh-CN"/>
              </w:rPr>
              <w:br w:type="textWrapping"/>
            </w:r>
            <w:r>
              <w:rPr>
                <w:rFonts w:ascii="Times New Roman" w:hAnsi="Times New Roman" w:eastAsia="宋体" w:cs="Times New Roman"/>
                <w:color w:val="auto"/>
                <w:highlight w:val="none"/>
                <w:lang w:val="en-US" w:eastAsia="zh-CN"/>
              </w:rPr>
              <w:t>（2） 每天及时下病区和科室收送各类布草，并要求当面点清各种净物和脏物布草的数量，</w:t>
            </w:r>
            <w:r>
              <w:rPr>
                <w:rFonts w:hint="eastAsia" w:ascii="Times New Roman" w:hAnsi="Times New Roman" w:eastAsia="宋体" w:cs="Times New Roman"/>
                <w:color w:val="auto"/>
                <w:highlight w:val="none"/>
                <w:lang w:val="en-US" w:eastAsia="zh-CN"/>
              </w:rPr>
              <w:t>录入</w:t>
            </w:r>
            <w:r>
              <w:rPr>
                <w:rFonts w:ascii="Times New Roman" w:hAnsi="Times New Roman" w:eastAsia="宋体" w:cs="Times New Roman"/>
                <w:color w:val="auto"/>
                <w:highlight w:val="none"/>
                <w:lang w:val="en-US" w:eastAsia="zh-CN"/>
              </w:rPr>
              <w:t>登记填写好每天的清单，并签名写清日期。</w:t>
            </w:r>
            <w:r>
              <w:rPr>
                <w:rFonts w:ascii="Times New Roman" w:hAnsi="Times New Roman" w:eastAsia="宋体" w:cs="Times New Roman"/>
                <w:color w:val="auto"/>
                <w:highlight w:val="none"/>
                <w:lang w:val="en-US" w:eastAsia="zh-CN"/>
              </w:rPr>
              <w:br w:type="textWrapping"/>
            </w:r>
            <w:r>
              <w:rPr>
                <w:rFonts w:ascii="Times New Roman" w:hAnsi="Times New Roman" w:eastAsia="宋体" w:cs="Times New Roman"/>
                <w:color w:val="auto"/>
                <w:highlight w:val="none"/>
                <w:lang w:val="en-US" w:eastAsia="zh-CN"/>
              </w:rPr>
              <w:t>（3）收工作衣、工作裤时要检查有无科室标记，如没有要给予补上科室的标记。</w:t>
            </w:r>
            <w:r>
              <w:rPr>
                <w:rFonts w:ascii="Times New Roman" w:hAnsi="Times New Roman" w:eastAsia="宋体" w:cs="Times New Roman"/>
                <w:color w:val="auto"/>
                <w:highlight w:val="none"/>
                <w:lang w:val="en-US" w:eastAsia="zh-CN"/>
              </w:rPr>
              <w:br w:type="textWrapping"/>
            </w:r>
            <w:r>
              <w:rPr>
                <w:rFonts w:ascii="Times New Roman" w:hAnsi="Times New Roman" w:eastAsia="宋体" w:cs="Times New Roman"/>
                <w:color w:val="auto"/>
                <w:highlight w:val="none"/>
                <w:lang w:val="en-US" w:eastAsia="zh-CN"/>
              </w:rPr>
              <w:t>（4）清理医护人员制服口袋物品、（如有口红、碳素墨水等而造成串色，由洗涤公司负责），达不到要求（留有污渍）重洗，但不重复计价。</w:t>
            </w:r>
            <w:r>
              <w:rPr>
                <w:rFonts w:ascii="Times New Roman" w:hAnsi="Times New Roman" w:eastAsia="宋体" w:cs="Times New Roman"/>
                <w:color w:val="auto"/>
                <w:highlight w:val="none"/>
                <w:lang w:val="en-US" w:eastAsia="zh-CN"/>
              </w:rPr>
              <w:br w:type="textWrapping"/>
            </w:r>
            <w:r>
              <w:rPr>
                <w:rFonts w:ascii="Times New Roman" w:hAnsi="Times New Roman" w:eastAsia="宋体" w:cs="Times New Roman"/>
                <w:color w:val="auto"/>
                <w:highlight w:val="none"/>
                <w:lang w:val="en-US" w:eastAsia="zh-CN"/>
              </w:rPr>
              <w:t>（5）</w:t>
            </w:r>
            <w:r>
              <w:rPr>
                <w:rFonts w:hint="eastAsia" w:ascii="Times New Roman" w:hAnsi="Times New Roman" w:eastAsia="宋体" w:cs="Times New Roman"/>
                <w:color w:val="auto"/>
                <w:highlight w:val="none"/>
                <w:lang w:val="en-US" w:eastAsia="zh-CN"/>
              </w:rPr>
              <w:t>运送</w:t>
            </w:r>
            <w:r>
              <w:rPr>
                <w:rFonts w:ascii="Times New Roman" w:hAnsi="Times New Roman" w:eastAsia="宋体" w:cs="Times New Roman"/>
                <w:color w:val="auto"/>
                <w:highlight w:val="none"/>
                <w:lang w:val="en-US" w:eastAsia="zh-CN"/>
              </w:rPr>
              <w:t>物品的车辆要按规定乘用电梯。</w:t>
            </w:r>
            <w:r>
              <w:rPr>
                <w:rFonts w:ascii="Times New Roman" w:hAnsi="Times New Roman" w:eastAsia="宋体" w:cs="Times New Roman"/>
                <w:color w:val="auto"/>
                <w:highlight w:val="none"/>
                <w:lang w:val="en-US" w:eastAsia="zh-CN"/>
              </w:rPr>
              <w:br w:type="textWrapping"/>
            </w:r>
            <w:r>
              <w:rPr>
                <w:rFonts w:ascii="Times New Roman" w:hAnsi="Times New Roman" w:eastAsia="宋体" w:cs="Times New Roman"/>
                <w:color w:val="auto"/>
                <w:highlight w:val="none"/>
                <w:lang w:val="en-US" w:eastAsia="zh-CN"/>
              </w:rPr>
              <w:t>（6）指定地点收集</w:t>
            </w:r>
            <w:r>
              <w:rPr>
                <w:rFonts w:hint="eastAsia" w:ascii="Times New Roman" w:hAnsi="Times New Roman" w:eastAsia="宋体" w:cs="Times New Roman"/>
                <w:color w:val="auto"/>
                <w:highlight w:val="none"/>
                <w:lang w:val="en-US" w:eastAsia="zh-CN"/>
              </w:rPr>
              <w:t>脏污</w:t>
            </w:r>
            <w:r>
              <w:rPr>
                <w:rFonts w:ascii="Times New Roman" w:hAnsi="Times New Roman" w:eastAsia="宋体" w:cs="Times New Roman"/>
                <w:color w:val="auto"/>
                <w:highlight w:val="none"/>
                <w:lang w:val="en-US" w:eastAsia="zh-CN"/>
              </w:rPr>
              <w:t>物，避免在病房过道、走廊清点，装入密闭容器内，专线运送，路线由洁到污，不得逆行。运送密闭容器洁、污分开，洁、污运送车有标志，用后及时清洁、</w:t>
            </w:r>
            <w:r>
              <w:rPr>
                <w:rFonts w:hint="eastAsia" w:ascii="Times New Roman" w:hAnsi="Times New Roman" w:eastAsia="宋体" w:cs="Times New Roman"/>
                <w:color w:val="auto"/>
                <w:highlight w:val="none"/>
                <w:lang w:val="en-US" w:eastAsia="zh-CN"/>
              </w:rPr>
              <w:t>消毒</w:t>
            </w:r>
            <w:r>
              <w:rPr>
                <w:rFonts w:ascii="Times New Roman" w:hAnsi="Times New Roman" w:eastAsia="宋体" w:cs="Times New Roman"/>
                <w:color w:val="auto"/>
                <w:highlight w:val="none"/>
                <w:lang w:val="en-US" w:eastAsia="zh-CN"/>
              </w:rPr>
              <w:t>。</w:t>
            </w:r>
            <w:r>
              <w:rPr>
                <w:rFonts w:ascii="Times New Roman" w:hAnsi="Times New Roman" w:eastAsia="宋体" w:cs="Times New Roman"/>
                <w:color w:val="auto"/>
                <w:highlight w:val="none"/>
                <w:lang w:val="en-US" w:eastAsia="zh-CN"/>
              </w:rPr>
              <w:br w:type="textWrapping"/>
            </w:r>
            <w:r>
              <w:rPr>
                <w:rFonts w:ascii="Times New Roman" w:hAnsi="Times New Roman" w:eastAsia="宋体" w:cs="Times New Roman"/>
                <w:color w:val="auto"/>
                <w:highlight w:val="none"/>
                <w:lang w:val="en-US" w:eastAsia="zh-CN"/>
              </w:rPr>
              <w:t>（7）科室反映的问题当日回复妥善处理。</w:t>
            </w:r>
          </w:p>
          <w:p w14:paraId="078057D2">
            <w:pPr>
              <w:keepNext w:val="0"/>
              <w:keepLines w:val="0"/>
              <w:widowControl/>
              <w:suppressLineNumbers w:val="0"/>
              <w:jc w:val="left"/>
              <w:textAlignment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（8）在收送被服时，不按照专车专用的，发现一次扣 100-1000 元。</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E251B8">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优：5</w:t>
            </w:r>
          </w:p>
          <w:p w14:paraId="7A430589">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良：3</w:t>
            </w:r>
          </w:p>
          <w:p w14:paraId="25A6AA61">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差：1</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2B2A71">
            <w:pPr>
              <w:jc w:val="center"/>
              <w:rPr>
                <w:rFonts w:hint="eastAsia" w:ascii="宋体" w:hAnsi="宋体" w:eastAsia="宋体" w:cs="宋体"/>
                <w:i w:val="0"/>
                <w:color w:val="auto"/>
                <w:sz w:val="21"/>
                <w:szCs w:val="21"/>
                <w:highlight w:val="none"/>
                <w:u w:val="none"/>
              </w:rPr>
            </w:pP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98444D">
            <w:pPr>
              <w:jc w:val="center"/>
              <w:rPr>
                <w:rFonts w:hint="eastAsia" w:ascii="宋体" w:hAnsi="宋体" w:eastAsia="宋体" w:cs="宋体"/>
                <w:i w:val="0"/>
                <w:color w:val="auto"/>
                <w:sz w:val="21"/>
                <w:szCs w:val="21"/>
                <w:highlight w:val="none"/>
                <w:u w:val="none"/>
              </w:rPr>
            </w:pP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F0D138">
            <w:pPr>
              <w:rPr>
                <w:rFonts w:hint="eastAsia" w:ascii="宋体" w:hAnsi="宋体" w:eastAsia="宋体" w:cs="宋体"/>
                <w:i w:val="0"/>
                <w:color w:val="auto"/>
                <w:sz w:val="21"/>
                <w:szCs w:val="21"/>
                <w:highlight w:val="none"/>
                <w:u w:val="none"/>
              </w:rPr>
            </w:pPr>
          </w:p>
        </w:tc>
      </w:tr>
      <w:tr w14:paraId="1644C797">
        <w:tblPrEx>
          <w:tblCellMar>
            <w:top w:w="0" w:type="dxa"/>
            <w:left w:w="0" w:type="dxa"/>
            <w:bottom w:w="0" w:type="dxa"/>
            <w:right w:w="0" w:type="dxa"/>
          </w:tblCellMar>
        </w:tblPrEx>
        <w:trPr>
          <w:trHeight w:val="2720" w:hRule="atLeast"/>
        </w:trPr>
        <w:tc>
          <w:tcPr>
            <w:tcW w:w="5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A8DE4E">
            <w:pPr>
              <w:jc w:val="center"/>
              <w:rPr>
                <w:rFonts w:hint="eastAsia" w:ascii="宋体" w:hAnsi="宋体" w:eastAsia="宋体" w:cs="宋体"/>
                <w:b/>
                <w:i w:val="0"/>
                <w:color w:val="auto"/>
                <w:sz w:val="21"/>
                <w:szCs w:val="21"/>
                <w:highlight w:val="none"/>
                <w:u w:val="none"/>
              </w:rPr>
            </w:pPr>
          </w:p>
        </w:tc>
        <w:tc>
          <w:tcPr>
            <w:tcW w:w="6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EEC260">
            <w:pPr>
              <w:keepNext w:val="0"/>
              <w:keepLines w:val="0"/>
              <w:widowControl/>
              <w:suppressLineNumbers w:val="0"/>
              <w:jc w:val="left"/>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布草处理办法</w:t>
            </w:r>
            <w:r>
              <w:rPr>
                <w:rFonts w:hint="eastAsia" w:ascii="宋体" w:hAnsi="宋体" w:eastAsia="宋体" w:cs="宋体"/>
                <w:b/>
                <w:i w:val="0"/>
                <w:color w:val="auto"/>
                <w:kern w:val="0"/>
                <w:sz w:val="21"/>
                <w:szCs w:val="21"/>
                <w:highlight w:val="none"/>
                <w:u w:val="none"/>
                <w:lang w:val="en-US" w:eastAsia="zh-CN" w:bidi="ar"/>
              </w:rPr>
              <w:br w:type="textWrapping"/>
            </w:r>
            <w:r>
              <w:rPr>
                <w:rStyle w:val="134"/>
                <w:color w:val="auto"/>
                <w:highlight w:val="none"/>
                <w:lang w:val="en-US" w:eastAsia="zh-CN" w:bidi="ar"/>
              </w:rPr>
              <w:t>（1）布草的自然磨损，由洗涤公司负责及时缝补（包括：缝补、掉扣子、松紧带及补丁）；洗涤过程中由机器造成或人为破坏造成布草无法正常使用或破损的，由洗涤公司负责赔偿。</w:t>
            </w:r>
            <w:r>
              <w:rPr>
                <w:rStyle w:val="134"/>
                <w:color w:val="auto"/>
                <w:highlight w:val="none"/>
                <w:lang w:val="en-US" w:eastAsia="zh-CN" w:bidi="ar"/>
              </w:rPr>
              <w:br w:type="textWrapping"/>
            </w:r>
            <w:r>
              <w:rPr>
                <w:rStyle w:val="134"/>
                <w:color w:val="auto"/>
                <w:highlight w:val="none"/>
                <w:lang w:val="en-US" w:eastAsia="zh-CN" w:bidi="ar"/>
              </w:rPr>
              <w:t>（2）布草报废由使用科室根据实际情况提出报废申请，需由双方清点数量，并由医院及时补充相应的布草。</w:t>
            </w:r>
            <w:r>
              <w:rPr>
                <w:rStyle w:val="134"/>
                <w:color w:val="auto"/>
                <w:highlight w:val="none"/>
                <w:lang w:val="en-US" w:eastAsia="zh-CN" w:bidi="ar"/>
              </w:rPr>
              <w:br w:type="textWrapping"/>
            </w:r>
            <w:r>
              <w:rPr>
                <w:rStyle w:val="134"/>
                <w:color w:val="auto"/>
                <w:highlight w:val="none"/>
                <w:lang w:val="en-US" w:eastAsia="zh-CN" w:bidi="ar"/>
              </w:rPr>
              <w:t>（3）布草报废的标准：洗涤过程中出现以下情形，布草中间部位或显眼位置有大块污渍及两块以上超过5厘米的污渍，低于 五成新，发黄、变色、染色、霉烂，由洗涤公司的工作人员负责分拣，并列出清单，填写书面通知书告知使用科室，再作处置决定。</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F4455A">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优：5</w:t>
            </w:r>
          </w:p>
          <w:p w14:paraId="443A60EE">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良：3</w:t>
            </w:r>
          </w:p>
          <w:p w14:paraId="31963E5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差：1</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0BFAA4">
            <w:pPr>
              <w:jc w:val="center"/>
              <w:rPr>
                <w:rFonts w:hint="eastAsia" w:ascii="宋体" w:hAnsi="宋体" w:eastAsia="宋体" w:cs="宋体"/>
                <w:i w:val="0"/>
                <w:color w:val="auto"/>
                <w:sz w:val="21"/>
                <w:szCs w:val="21"/>
                <w:highlight w:val="none"/>
                <w:u w:val="none"/>
              </w:rPr>
            </w:pP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F08C0E">
            <w:pPr>
              <w:jc w:val="center"/>
              <w:rPr>
                <w:rFonts w:hint="eastAsia" w:ascii="宋体" w:hAnsi="宋体" w:eastAsia="宋体" w:cs="宋体"/>
                <w:i w:val="0"/>
                <w:color w:val="auto"/>
                <w:sz w:val="21"/>
                <w:szCs w:val="21"/>
                <w:highlight w:val="none"/>
                <w:u w:val="none"/>
              </w:rPr>
            </w:pP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9B912F">
            <w:pPr>
              <w:rPr>
                <w:rFonts w:hint="eastAsia" w:ascii="宋体" w:hAnsi="宋体" w:eastAsia="宋体" w:cs="宋体"/>
                <w:i w:val="0"/>
                <w:color w:val="auto"/>
                <w:sz w:val="21"/>
                <w:szCs w:val="21"/>
                <w:highlight w:val="none"/>
                <w:u w:val="none"/>
              </w:rPr>
            </w:pPr>
          </w:p>
        </w:tc>
      </w:tr>
      <w:tr w14:paraId="0F5A44A9">
        <w:tblPrEx>
          <w:tblCellMar>
            <w:top w:w="0" w:type="dxa"/>
            <w:left w:w="0" w:type="dxa"/>
            <w:bottom w:w="0" w:type="dxa"/>
            <w:right w:w="0" w:type="dxa"/>
          </w:tblCellMar>
        </w:tblPrEx>
        <w:trPr>
          <w:trHeight w:val="2580" w:hRule="atLeast"/>
        </w:trPr>
        <w:tc>
          <w:tcPr>
            <w:tcW w:w="585"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6AF23AE">
            <w:pPr>
              <w:keepNext w:val="0"/>
              <w:keepLines w:val="0"/>
              <w:widowControl/>
              <w:suppressLineNumbers w:val="0"/>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质量考核及监管办法</w:t>
            </w:r>
          </w:p>
        </w:tc>
        <w:tc>
          <w:tcPr>
            <w:tcW w:w="6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168D74">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（1）全院医用织物洗涤、消毒程序符合《医疗机构消毒技术规范（WS/T367-2012）》、《医院医用 织物洗涤消毒技术规范（WS/T508-2016）》的标准，对洗涤消毒后的被服布料进行消毒效果检测，合格率 100%，菌落数≤5，不含致病菌，洗涤公司每年提供给医院两次由市级以上卫生防疫部门对洗净被服消毒效果的监测报告（报告需加盖洗涤公司公章 ，如医院有疑问，则由双方共同认可的机构在双方工作人员在场监督的情况下对衣物布草进行抽样检测。检测费用由洗涤公司负责支付。若相关检测报告检测的结果不符合行业洗涤卫生标准，医院处罚2000元/次，从洗涤费用中扣除；洗涤公司应立即整改，提供整改后的监测报告，整改后仍不合格，医院有权</w:t>
            </w:r>
            <w:r>
              <w:rPr>
                <w:rFonts w:hint="eastAsia" w:ascii="宋体" w:hAnsi="宋体" w:eastAsia="宋体" w:cs="宋体"/>
                <w:color w:val="auto"/>
                <w:spacing w:val="9"/>
                <w:sz w:val="21"/>
                <w:szCs w:val="21"/>
                <w:highlight w:val="none"/>
                <w:lang w:eastAsia="zh-CN"/>
              </w:rPr>
              <w:t>解除</w:t>
            </w:r>
            <w:r>
              <w:rPr>
                <w:rFonts w:hint="eastAsia" w:ascii="宋体" w:hAnsi="宋体" w:eastAsia="宋体" w:cs="宋体"/>
                <w:i w:val="0"/>
                <w:color w:val="auto"/>
                <w:kern w:val="0"/>
                <w:sz w:val="21"/>
                <w:szCs w:val="21"/>
                <w:highlight w:val="none"/>
                <w:u w:val="none"/>
                <w:lang w:val="en-US" w:eastAsia="zh-CN" w:bidi="ar"/>
              </w:rPr>
              <w:t>合同。</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19D693">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优：5</w:t>
            </w:r>
          </w:p>
          <w:p w14:paraId="698E920F">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良：3</w:t>
            </w:r>
          </w:p>
          <w:p w14:paraId="4098D6F1">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差：1</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E511EE">
            <w:pPr>
              <w:jc w:val="center"/>
              <w:rPr>
                <w:rFonts w:hint="eastAsia" w:ascii="宋体" w:hAnsi="宋体" w:eastAsia="宋体" w:cs="宋体"/>
                <w:i w:val="0"/>
                <w:color w:val="auto"/>
                <w:sz w:val="21"/>
                <w:szCs w:val="21"/>
                <w:highlight w:val="none"/>
                <w:u w:val="none"/>
              </w:rPr>
            </w:pP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C41FAF">
            <w:pPr>
              <w:jc w:val="center"/>
              <w:rPr>
                <w:rFonts w:hint="eastAsia" w:ascii="宋体" w:hAnsi="宋体" w:eastAsia="宋体" w:cs="宋体"/>
                <w:i w:val="0"/>
                <w:color w:val="auto"/>
                <w:sz w:val="21"/>
                <w:szCs w:val="21"/>
                <w:highlight w:val="none"/>
                <w:u w:val="none"/>
              </w:rPr>
            </w:pP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6C578F">
            <w:pPr>
              <w:rPr>
                <w:rFonts w:hint="eastAsia" w:ascii="宋体" w:hAnsi="宋体" w:eastAsia="宋体" w:cs="宋体"/>
                <w:i w:val="0"/>
                <w:color w:val="auto"/>
                <w:sz w:val="21"/>
                <w:szCs w:val="21"/>
                <w:highlight w:val="none"/>
                <w:u w:val="none"/>
              </w:rPr>
            </w:pPr>
          </w:p>
        </w:tc>
      </w:tr>
      <w:tr w14:paraId="71F1445F">
        <w:tblPrEx>
          <w:tblCellMar>
            <w:top w:w="0" w:type="dxa"/>
            <w:left w:w="0" w:type="dxa"/>
            <w:bottom w:w="0" w:type="dxa"/>
            <w:right w:w="0" w:type="dxa"/>
          </w:tblCellMar>
        </w:tblPrEx>
        <w:trPr>
          <w:trHeight w:val="1480" w:hRule="atLeast"/>
        </w:trPr>
        <w:tc>
          <w:tcPr>
            <w:tcW w:w="58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4D481B6">
            <w:pPr>
              <w:jc w:val="center"/>
              <w:rPr>
                <w:rFonts w:hint="eastAsia" w:ascii="宋体" w:hAnsi="宋体" w:eastAsia="宋体" w:cs="宋体"/>
                <w:b/>
                <w:i w:val="0"/>
                <w:color w:val="auto"/>
                <w:sz w:val="21"/>
                <w:szCs w:val="21"/>
                <w:highlight w:val="none"/>
                <w:u w:val="none"/>
              </w:rPr>
            </w:pPr>
          </w:p>
        </w:tc>
        <w:tc>
          <w:tcPr>
            <w:tcW w:w="6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06AE83">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洗涤后的被服布类外存在以下情况的外观不洁净、皱褶，无明显洗脱、污渍，异味、串色，白色布类不达标准—整体面洁白、颜色布类不达标准—整体面鲜艳，有光泽感，清新透亮，布类整体污垢的残迹，如色素黄斑、油脂等；洗好的布类无残留漂白剂的氯气味、洗衣粉味，按实际情况一件处罚5-200元，从洗涤费用中扣除。</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CB79FE">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优：5</w:t>
            </w:r>
          </w:p>
          <w:p w14:paraId="1EB6B13A">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良：3</w:t>
            </w:r>
          </w:p>
          <w:p w14:paraId="6B7D680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差：1</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BA5A29">
            <w:pPr>
              <w:jc w:val="center"/>
              <w:rPr>
                <w:rFonts w:hint="eastAsia" w:ascii="宋体" w:hAnsi="宋体" w:eastAsia="宋体" w:cs="宋体"/>
                <w:i w:val="0"/>
                <w:color w:val="auto"/>
                <w:sz w:val="21"/>
                <w:szCs w:val="21"/>
                <w:highlight w:val="none"/>
                <w:u w:val="none"/>
              </w:rPr>
            </w:pP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94510F">
            <w:pPr>
              <w:jc w:val="center"/>
              <w:rPr>
                <w:rFonts w:hint="eastAsia" w:ascii="宋体" w:hAnsi="宋体" w:eastAsia="宋体" w:cs="宋体"/>
                <w:i w:val="0"/>
                <w:color w:val="auto"/>
                <w:sz w:val="21"/>
                <w:szCs w:val="21"/>
                <w:highlight w:val="none"/>
                <w:u w:val="none"/>
              </w:rPr>
            </w:pP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34BCE5">
            <w:pPr>
              <w:rPr>
                <w:rFonts w:hint="eastAsia" w:ascii="宋体" w:hAnsi="宋体" w:eastAsia="宋体" w:cs="宋体"/>
                <w:i w:val="0"/>
                <w:color w:val="auto"/>
                <w:sz w:val="21"/>
                <w:szCs w:val="21"/>
                <w:highlight w:val="none"/>
                <w:u w:val="none"/>
              </w:rPr>
            </w:pPr>
          </w:p>
        </w:tc>
      </w:tr>
      <w:tr w14:paraId="53311966">
        <w:tblPrEx>
          <w:tblCellMar>
            <w:top w:w="0" w:type="dxa"/>
            <w:left w:w="0" w:type="dxa"/>
            <w:bottom w:w="0" w:type="dxa"/>
            <w:right w:w="0" w:type="dxa"/>
          </w:tblCellMar>
        </w:tblPrEx>
        <w:trPr>
          <w:trHeight w:val="840" w:hRule="atLeast"/>
        </w:trPr>
        <w:tc>
          <w:tcPr>
            <w:tcW w:w="58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FD7EE64">
            <w:pPr>
              <w:jc w:val="center"/>
              <w:rPr>
                <w:rFonts w:hint="eastAsia" w:ascii="宋体" w:hAnsi="宋体" w:eastAsia="宋体" w:cs="宋体"/>
                <w:b/>
                <w:i w:val="0"/>
                <w:color w:val="auto"/>
                <w:sz w:val="21"/>
                <w:szCs w:val="21"/>
                <w:highlight w:val="none"/>
                <w:u w:val="none"/>
              </w:rPr>
            </w:pPr>
          </w:p>
        </w:tc>
        <w:tc>
          <w:tcPr>
            <w:tcW w:w="6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17427A">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（3）严格按照国家卫生健康委员会颁布的《医院医用织物洗涤消毒技术规范》 要求洗涤、消毒医院布草。如因洗涤公司未按照正确的洗涤方法造成布草非正常耗损的需给予照价赔偿。</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0D1F72">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优：5</w:t>
            </w:r>
          </w:p>
          <w:p w14:paraId="3E235136">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良：3</w:t>
            </w:r>
          </w:p>
          <w:p w14:paraId="4D795EF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差：1</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1D74C9">
            <w:pPr>
              <w:jc w:val="center"/>
              <w:rPr>
                <w:rFonts w:hint="eastAsia" w:ascii="宋体" w:hAnsi="宋体" w:eastAsia="宋体" w:cs="宋体"/>
                <w:i w:val="0"/>
                <w:color w:val="auto"/>
                <w:sz w:val="20"/>
                <w:szCs w:val="20"/>
                <w:highlight w:val="none"/>
                <w:u w:val="none"/>
              </w:rPr>
            </w:pP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E0783E">
            <w:pPr>
              <w:jc w:val="center"/>
              <w:rPr>
                <w:rFonts w:hint="eastAsia" w:ascii="宋体" w:hAnsi="宋体" w:eastAsia="宋体" w:cs="宋体"/>
                <w:i w:val="0"/>
                <w:color w:val="auto"/>
                <w:sz w:val="21"/>
                <w:szCs w:val="21"/>
                <w:highlight w:val="none"/>
                <w:u w:val="none"/>
              </w:rPr>
            </w:pP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DB7C3C">
            <w:pPr>
              <w:rPr>
                <w:rFonts w:hint="eastAsia" w:ascii="宋体" w:hAnsi="宋体" w:eastAsia="宋体" w:cs="宋体"/>
                <w:i w:val="0"/>
                <w:color w:val="auto"/>
                <w:sz w:val="21"/>
                <w:szCs w:val="21"/>
                <w:highlight w:val="none"/>
                <w:u w:val="none"/>
              </w:rPr>
            </w:pPr>
          </w:p>
        </w:tc>
      </w:tr>
      <w:tr w14:paraId="67DE7A61">
        <w:tblPrEx>
          <w:tblCellMar>
            <w:top w:w="0" w:type="dxa"/>
            <w:left w:w="0" w:type="dxa"/>
            <w:bottom w:w="0" w:type="dxa"/>
            <w:right w:w="0" w:type="dxa"/>
          </w:tblCellMar>
        </w:tblPrEx>
        <w:trPr>
          <w:trHeight w:val="620" w:hRule="atLeast"/>
        </w:trPr>
        <w:tc>
          <w:tcPr>
            <w:tcW w:w="58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08AE8DE">
            <w:pPr>
              <w:jc w:val="center"/>
              <w:rPr>
                <w:rFonts w:hint="eastAsia" w:ascii="宋体" w:hAnsi="宋体" w:eastAsia="宋体" w:cs="宋体"/>
                <w:b/>
                <w:i w:val="0"/>
                <w:color w:val="auto"/>
                <w:sz w:val="21"/>
                <w:szCs w:val="21"/>
                <w:highlight w:val="none"/>
                <w:u w:val="none"/>
              </w:rPr>
            </w:pPr>
          </w:p>
        </w:tc>
        <w:tc>
          <w:tcPr>
            <w:tcW w:w="6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AB2033">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（4）被服的折叠、熨烫不符合医院质量标准扣该件布草洗涤费用，从洗涤费中减除</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3B0902">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优：5</w:t>
            </w:r>
          </w:p>
          <w:p w14:paraId="390D4D86">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良：3</w:t>
            </w:r>
          </w:p>
          <w:p w14:paraId="20A4811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差：1</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47500F">
            <w:pPr>
              <w:jc w:val="center"/>
              <w:rPr>
                <w:rFonts w:hint="eastAsia" w:ascii="宋体" w:hAnsi="宋体" w:eastAsia="宋体" w:cs="宋体"/>
                <w:i w:val="0"/>
                <w:color w:val="auto"/>
                <w:sz w:val="21"/>
                <w:szCs w:val="21"/>
                <w:highlight w:val="none"/>
                <w:u w:val="none"/>
              </w:rPr>
            </w:pP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8D0EA2">
            <w:pPr>
              <w:jc w:val="center"/>
              <w:rPr>
                <w:rFonts w:hint="eastAsia" w:ascii="宋体" w:hAnsi="宋体" w:eastAsia="宋体" w:cs="宋体"/>
                <w:i w:val="0"/>
                <w:color w:val="auto"/>
                <w:sz w:val="21"/>
                <w:szCs w:val="21"/>
                <w:highlight w:val="none"/>
                <w:u w:val="none"/>
              </w:rPr>
            </w:pP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805B0B">
            <w:pPr>
              <w:rPr>
                <w:rFonts w:hint="eastAsia" w:ascii="宋体" w:hAnsi="宋体" w:eastAsia="宋体" w:cs="宋体"/>
                <w:i w:val="0"/>
                <w:color w:val="auto"/>
                <w:sz w:val="21"/>
                <w:szCs w:val="21"/>
                <w:highlight w:val="none"/>
                <w:u w:val="none"/>
              </w:rPr>
            </w:pPr>
          </w:p>
        </w:tc>
      </w:tr>
      <w:tr w14:paraId="19446475">
        <w:tblPrEx>
          <w:tblCellMar>
            <w:top w:w="0" w:type="dxa"/>
            <w:left w:w="0" w:type="dxa"/>
            <w:bottom w:w="0" w:type="dxa"/>
            <w:right w:w="0" w:type="dxa"/>
          </w:tblCellMar>
        </w:tblPrEx>
        <w:trPr>
          <w:trHeight w:val="600" w:hRule="atLeast"/>
        </w:trPr>
        <w:tc>
          <w:tcPr>
            <w:tcW w:w="58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5DD2BA2">
            <w:pPr>
              <w:jc w:val="center"/>
              <w:rPr>
                <w:rFonts w:hint="eastAsia" w:ascii="宋体" w:hAnsi="宋体" w:eastAsia="宋体" w:cs="宋体"/>
                <w:b/>
                <w:i w:val="0"/>
                <w:color w:val="auto"/>
                <w:sz w:val="21"/>
                <w:szCs w:val="21"/>
                <w:highlight w:val="none"/>
                <w:u w:val="none"/>
              </w:rPr>
            </w:pPr>
          </w:p>
        </w:tc>
        <w:tc>
          <w:tcPr>
            <w:tcW w:w="6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64CC0A">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（5）洗涤公司配送时布草破损，掉扣子、松紧带未更换、洗涤不干净、扣该件布草洗涤费用，从洗涤费中扣除。</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ECA7D1">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优：5</w:t>
            </w:r>
          </w:p>
          <w:p w14:paraId="0580D3CD">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良：3</w:t>
            </w:r>
          </w:p>
          <w:p w14:paraId="3EE8FE5D">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差：1</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0E8A81">
            <w:pPr>
              <w:jc w:val="center"/>
              <w:rPr>
                <w:rFonts w:hint="eastAsia" w:ascii="宋体" w:hAnsi="宋体" w:eastAsia="宋体" w:cs="宋体"/>
                <w:i w:val="0"/>
                <w:color w:val="auto"/>
                <w:sz w:val="21"/>
                <w:szCs w:val="21"/>
                <w:highlight w:val="none"/>
                <w:u w:val="none"/>
              </w:rPr>
            </w:pP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D60DD8">
            <w:pPr>
              <w:jc w:val="center"/>
              <w:rPr>
                <w:rFonts w:hint="eastAsia" w:ascii="宋体" w:hAnsi="宋体" w:eastAsia="宋体" w:cs="宋体"/>
                <w:i w:val="0"/>
                <w:color w:val="auto"/>
                <w:sz w:val="21"/>
                <w:szCs w:val="21"/>
                <w:highlight w:val="none"/>
                <w:u w:val="none"/>
              </w:rPr>
            </w:pP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214DFA">
            <w:pPr>
              <w:rPr>
                <w:rFonts w:hint="eastAsia" w:ascii="宋体" w:hAnsi="宋体" w:eastAsia="宋体" w:cs="宋体"/>
                <w:i w:val="0"/>
                <w:color w:val="auto"/>
                <w:sz w:val="21"/>
                <w:szCs w:val="21"/>
                <w:highlight w:val="none"/>
                <w:u w:val="none"/>
              </w:rPr>
            </w:pPr>
          </w:p>
        </w:tc>
      </w:tr>
      <w:tr w14:paraId="6693E955">
        <w:tblPrEx>
          <w:tblCellMar>
            <w:top w:w="0" w:type="dxa"/>
            <w:left w:w="0" w:type="dxa"/>
            <w:bottom w:w="0" w:type="dxa"/>
            <w:right w:w="0" w:type="dxa"/>
          </w:tblCellMar>
        </w:tblPrEx>
        <w:trPr>
          <w:trHeight w:val="559" w:hRule="atLeast"/>
        </w:trPr>
        <w:tc>
          <w:tcPr>
            <w:tcW w:w="58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7F69C99">
            <w:pPr>
              <w:jc w:val="center"/>
              <w:rPr>
                <w:rFonts w:hint="eastAsia" w:ascii="宋体" w:hAnsi="宋体" w:eastAsia="宋体" w:cs="宋体"/>
                <w:b/>
                <w:i w:val="0"/>
                <w:color w:val="auto"/>
                <w:sz w:val="21"/>
                <w:szCs w:val="21"/>
                <w:highlight w:val="none"/>
                <w:u w:val="none"/>
              </w:rPr>
            </w:pPr>
          </w:p>
        </w:tc>
        <w:tc>
          <w:tcPr>
            <w:tcW w:w="6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5A5872">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（6）被服修补颜色不相同的、衣服补钉扣子颜色不相同的、扣该件布草洗涤费用，从洗涤费中扣除。</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D256BB">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优：5</w:t>
            </w:r>
          </w:p>
          <w:p w14:paraId="770C6A12">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良：3</w:t>
            </w:r>
          </w:p>
          <w:p w14:paraId="0819424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差：1</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0CA30E">
            <w:pPr>
              <w:jc w:val="center"/>
              <w:rPr>
                <w:rFonts w:hint="eastAsia" w:ascii="宋体" w:hAnsi="宋体" w:eastAsia="宋体" w:cs="宋体"/>
                <w:i w:val="0"/>
                <w:color w:val="auto"/>
                <w:sz w:val="21"/>
                <w:szCs w:val="21"/>
                <w:highlight w:val="none"/>
                <w:u w:val="none"/>
              </w:rPr>
            </w:pP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88AC3F">
            <w:pPr>
              <w:jc w:val="center"/>
              <w:rPr>
                <w:rFonts w:hint="eastAsia" w:ascii="宋体" w:hAnsi="宋体" w:eastAsia="宋体" w:cs="宋体"/>
                <w:i w:val="0"/>
                <w:color w:val="auto"/>
                <w:sz w:val="21"/>
                <w:szCs w:val="21"/>
                <w:highlight w:val="none"/>
                <w:u w:val="none"/>
              </w:rPr>
            </w:pP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DFF21E">
            <w:pPr>
              <w:rPr>
                <w:rFonts w:hint="eastAsia" w:ascii="宋体" w:hAnsi="宋体" w:eastAsia="宋体" w:cs="宋体"/>
                <w:i w:val="0"/>
                <w:color w:val="auto"/>
                <w:sz w:val="21"/>
                <w:szCs w:val="21"/>
                <w:highlight w:val="none"/>
                <w:u w:val="none"/>
              </w:rPr>
            </w:pPr>
          </w:p>
        </w:tc>
      </w:tr>
      <w:tr w14:paraId="6693EDBE">
        <w:tblPrEx>
          <w:tblCellMar>
            <w:top w:w="0" w:type="dxa"/>
            <w:left w:w="0" w:type="dxa"/>
            <w:bottom w:w="0" w:type="dxa"/>
            <w:right w:w="0" w:type="dxa"/>
          </w:tblCellMar>
        </w:tblPrEx>
        <w:trPr>
          <w:trHeight w:val="360" w:hRule="atLeast"/>
        </w:trPr>
        <w:tc>
          <w:tcPr>
            <w:tcW w:w="58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8BB4B1D">
            <w:pPr>
              <w:jc w:val="center"/>
              <w:rPr>
                <w:rFonts w:hint="eastAsia" w:ascii="宋体" w:hAnsi="宋体" w:eastAsia="宋体" w:cs="宋体"/>
                <w:b/>
                <w:i w:val="0"/>
                <w:color w:val="auto"/>
                <w:sz w:val="21"/>
                <w:szCs w:val="21"/>
                <w:highlight w:val="none"/>
                <w:u w:val="none"/>
              </w:rPr>
            </w:pPr>
          </w:p>
        </w:tc>
        <w:tc>
          <w:tcPr>
            <w:tcW w:w="6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AD3580">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（7）由于洗涤公司原因，造成各种被服丢失的，须照价赔偿。</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17CABC">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优：5</w:t>
            </w:r>
          </w:p>
          <w:p w14:paraId="1E201FCF">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良：3</w:t>
            </w:r>
          </w:p>
          <w:p w14:paraId="5F1B22A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差：1</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5B59B5">
            <w:pPr>
              <w:jc w:val="center"/>
              <w:rPr>
                <w:rFonts w:hint="eastAsia" w:ascii="宋体" w:hAnsi="宋体" w:eastAsia="宋体" w:cs="宋体"/>
                <w:i w:val="0"/>
                <w:color w:val="auto"/>
                <w:sz w:val="21"/>
                <w:szCs w:val="21"/>
                <w:highlight w:val="none"/>
                <w:u w:val="none"/>
              </w:rPr>
            </w:pP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55EFF8">
            <w:pPr>
              <w:jc w:val="center"/>
              <w:rPr>
                <w:rFonts w:hint="eastAsia" w:ascii="宋体" w:hAnsi="宋体" w:eastAsia="宋体" w:cs="宋体"/>
                <w:i w:val="0"/>
                <w:color w:val="auto"/>
                <w:sz w:val="21"/>
                <w:szCs w:val="21"/>
                <w:highlight w:val="none"/>
                <w:u w:val="none"/>
              </w:rPr>
            </w:pP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E1FBB2">
            <w:pPr>
              <w:rPr>
                <w:rFonts w:hint="eastAsia" w:ascii="宋体" w:hAnsi="宋体" w:eastAsia="宋体" w:cs="宋体"/>
                <w:i w:val="0"/>
                <w:color w:val="auto"/>
                <w:sz w:val="21"/>
                <w:szCs w:val="21"/>
                <w:highlight w:val="none"/>
                <w:u w:val="none"/>
              </w:rPr>
            </w:pPr>
          </w:p>
        </w:tc>
      </w:tr>
      <w:tr w14:paraId="2A18A33F">
        <w:tblPrEx>
          <w:tblCellMar>
            <w:top w:w="0" w:type="dxa"/>
            <w:left w:w="0" w:type="dxa"/>
            <w:bottom w:w="0" w:type="dxa"/>
            <w:right w:w="0" w:type="dxa"/>
          </w:tblCellMar>
        </w:tblPrEx>
        <w:trPr>
          <w:trHeight w:val="600" w:hRule="atLeast"/>
        </w:trPr>
        <w:tc>
          <w:tcPr>
            <w:tcW w:w="58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7DFA5D10">
            <w:pPr>
              <w:jc w:val="center"/>
              <w:rPr>
                <w:rFonts w:hint="eastAsia" w:ascii="宋体" w:hAnsi="宋体" w:eastAsia="宋体" w:cs="宋体"/>
                <w:b/>
                <w:i w:val="0"/>
                <w:color w:val="auto"/>
                <w:sz w:val="21"/>
                <w:szCs w:val="21"/>
                <w:highlight w:val="none"/>
                <w:u w:val="none"/>
              </w:rPr>
            </w:pPr>
          </w:p>
        </w:tc>
        <w:tc>
          <w:tcPr>
            <w:tcW w:w="6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7522EB">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（8）被服送错洗涤公司每件扣1元； 造成影响临床科室使用的，每件加扣2元。</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0CE141">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优：5</w:t>
            </w:r>
          </w:p>
          <w:p w14:paraId="662E412F">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良：3</w:t>
            </w:r>
          </w:p>
          <w:p w14:paraId="05B38CC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差：1</w:t>
            </w: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8D028B">
            <w:pPr>
              <w:jc w:val="center"/>
              <w:rPr>
                <w:rFonts w:hint="eastAsia" w:ascii="宋体" w:hAnsi="宋体" w:eastAsia="宋体" w:cs="宋体"/>
                <w:i w:val="0"/>
                <w:color w:val="auto"/>
                <w:sz w:val="21"/>
                <w:szCs w:val="21"/>
                <w:highlight w:val="none"/>
                <w:u w:val="none"/>
              </w:rPr>
            </w:pP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77EE0A">
            <w:pPr>
              <w:jc w:val="center"/>
              <w:rPr>
                <w:rFonts w:hint="eastAsia" w:ascii="宋体" w:hAnsi="宋体" w:eastAsia="宋体" w:cs="宋体"/>
                <w:i w:val="0"/>
                <w:color w:val="auto"/>
                <w:sz w:val="21"/>
                <w:szCs w:val="21"/>
                <w:highlight w:val="none"/>
                <w:u w:val="none"/>
              </w:rPr>
            </w:pPr>
          </w:p>
        </w:tc>
        <w:tc>
          <w:tcPr>
            <w:tcW w:w="8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E87BBD">
            <w:pPr>
              <w:rPr>
                <w:rFonts w:hint="eastAsia" w:ascii="宋体" w:hAnsi="宋体" w:eastAsia="宋体" w:cs="宋体"/>
                <w:i w:val="0"/>
                <w:color w:val="auto"/>
                <w:sz w:val="21"/>
                <w:szCs w:val="21"/>
                <w:highlight w:val="none"/>
                <w:u w:val="none"/>
              </w:rPr>
            </w:pPr>
          </w:p>
        </w:tc>
      </w:tr>
      <w:tr w14:paraId="2F90A094">
        <w:tblPrEx>
          <w:tblCellMar>
            <w:top w:w="0" w:type="dxa"/>
            <w:left w:w="0" w:type="dxa"/>
            <w:bottom w:w="0" w:type="dxa"/>
            <w:right w:w="0" w:type="dxa"/>
          </w:tblCellMar>
        </w:tblPrEx>
        <w:trPr>
          <w:trHeight w:val="740" w:hRule="atLeast"/>
        </w:trPr>
        <w:tc>
          <w:tcPr>
            <w:tcW w:w="58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AE60868">
            <w:pPr>
              <w:jc w:val="center"/>
              <w:rPr>
                <w:rFonts w:hint="eastAsia" w:ascii="宋体" w:hAnsi="宋体" w:eastAsia="宋体" w:cs="宋体"/>
                <w:b/>
                <w:i w:val="0"/>
                <w:color w:val="auto"/>
                <w:sz w:val="21"/>
                <w:szCs w:val="21"/>
                <w:highlight w:val="none"/>
                <w:u w:val="none"/>
              </w:rPr>
            </w:pPr>
          </w:p>
        </w:tc>
        <w:tc>
          <w:tcPr>
            <w:tcW w:w="649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00B2CBD6">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（9）在洗涤过程中，不按消毒工作制度操作的，每发现一次扣100-1000元；不分类洗涤，同机混装混洗，每发现一次扣100-1000元。</w:t>
            </w:r>
          </w:p>
        </w:tc>
        <w:tc>
          <w:tcPr>
            <w:tcW w:w="115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312BA82E">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优：5</w:t>
            </w:r>
          </w:p>
          <w:p w14:paraId="46753F07">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良：3</w:t>
            </w:r>
          </w:p>
          <w:p w14:paraId="1511F58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1"/>
                <w:szCs w:val="21"/>
                <w:highlight w:val="none"/>
                <w:u w:val="none"/>
                <w:lang w:val="en-US" w:eastAsia="zh-CN" w:bidi="ar"/>
              </w:rPr>
              <w:t>差：1</w:t>
            </w:r>
          </w:p>
        </w:tc>
        <w:tc>
          <w:tcPr>
            <w:tcW w:w="88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1591FC44">
            <w:pPr>
              <w:jc w:val="center"/>
              <w:rPr>
                <w:rFonts w:hint="eastAsia" w:ascii="宋体" w:hAnsi="宋体" w:eastAsia="宋体" w:cs="宋体"/>
                <w:i w:val="0"/>
                <w:color w:val="auto"/>
                <w:sz w:val="22"/>
                <w:szCs w:val="22"/>
                <w:highlight w:val="none"/>
                <w:u w:val="none"/>
              </w:rPr>
            </w:pPr>
          </w:p>
        </w:tc>
        <w:tc>
          <w:tcPr>
            <w:tcW w:w="111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45A61F6C">
            <w:pPr>
              <w:jc w:val="center"/>
              <w:rPr>
                <w:rFonts w:hint="eastAsia" w:ascii="宋体" w:hAnsi="宋体" w:eastAsia="宋体" w:cs="宋体"/>
                <w:i w:val="0"/>
                <w:color w:val="auto"/>
                <w:sz w:val="22"/>
                <w:szCs w:val="22"/>
                <w:highlight w:val="none"/>
                <w:u w:val="none"/>
              </w:rPr>
            </w:pPr>
          </w:p>
        </w:tc>
        <w:tc>
          <w:tcPr>
            <w:tcW w:w="88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169819E8">
            <w:pPr>
              <w:rPr>
                <w:rFonts w:hint="eastAsia" w:ascii="宋体" w:hAnsi="宋体" w:eastAsia="宋体" w:cs="宋体"/>
                <w:i w:val="0"/>
                <w:color w:val="auto"/>
                <w:sz w:val="22"/>
                <w:szCs w:val="22"/>
                <w:highlight w:val="none"/>
                <w:u w:val="none"/>
              </w:rPr>
            </w:pPr>
          </w:p>
        </w:tc>
      </w:tr>
      <w:tr w14:paraId="01BCEF93">
        <w:tblPrEx>
          <w:tblCellMar>
            <w:top w:w="0" w:type="dxa"/>
            <w:left w:w="0" w:type="dxa"/>
            <w:bottom w:w="0" w:type="dxa"/>
            <w:right w:w="0" w:type="dxa"/>
          </w:tblCellMar>
        </w:tblPrEx>
        <w:trPr>
          <w:trHeight w:val="440" w:hRule="atLeast"/>
        </w:trPr>
        <w:tc>
          <w:tcPr>
            <w:tcW w:w="58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0D29C031">
            <w:pPr>
              <w:jc w:val="center"/>
              <w:rPr>
                <w:rFonts w:hint="eastAsia" w:ascii="宋体" w:hAnsi="宋体" w:eastAsia="宋体" w:cs="宋体"/>
                <w:b/>
                <w:i w:val="0"/>
                <w:color w:val="auto"/>
                <w:sz w:val="21"/>
                <w:szCs w:val="21"/>
                <w:highlight w:val="none"/>
                <w:u w:val="none"/>
              </w:rPr>
            </w:pPr>
          </w:p>
        </w:tc>
        <w:tc>
          <w:tcPr>
            <w:tcW w:w="6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B06CC1">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（10）被医院科室投诉，经核属实每次扣10元-500元。</w:t>
            </w:r>
          </w:p>
        </w:tc>
        <w:tc>
          <w:tcPr>
            <w:tcW w:w="115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2E7EA017">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优：5</w:t>
            </w:r>
          </w:p>
          <w:p w14:paraId="31C45B85">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良：3</w:t>
            </w:r>
          </w:p>
          <w:p w14:paraId="21E3BE3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1"/>
                <w:szCs w:val="21"/>
                <w:highlight w:val="none"/>
                <w:u w:val="none"/>
                <w:lang w:val="en-US" w:eastAsia="zh-CN" w:bidi="ar"/>
              </w:rPr>
              <w:t>差：1</w:t>
            </w:r>
          </w:p>
        </w:tc>
        <w:tc>
          <w:tcPr>
            <w:tcW w:w="88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27C4B5DC">
            <w:pPr>
              <w:jc w:val="center"/>
              <w:rPr>
                <w:rFonts w:hint="eastAsia" w:ascii="宋体" w:hAnsi="宋体" w:eastAsia="宋体" w:cs="宋体"/>
                <w:i w:val="0"/>
                <w:color w:val="auto"/>
                <w:sz w:val="22"/>
                <w:szCs w:val="22"/>
                <w:highlight w:val="none"/>
                <w:u w:val="none"/>
              </w:rPr>
            </w:pPr>
          </w:p>
        </w:tc>
        <w:tc>
          <w:tcPr>
            <w:tcW w:w="111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0D6C5365">
            <w:pPr>
              <w:jc w:val="center"/>
              <w:rPr>
                <w:rFonts w:hint="eastAsia" w:ascii="宋体" w:hAnsi="宋体" w:eastAsia="宋体" w:cs="宋体"/>
                <w:i w:val="0"/>
                <w:color w:val="auto"/>
                <w:sz w:val="22"/>
                <w:szCs w:val="22"/>
                <w:highlight w:val="none"/>
                <w:u w:val="none"/>
              </w:rPr>
            </w:pPr>
          </w:p>
        </w:tc>
        <w:tc>
          <w:tcPr>
            <w:tcW w:w="88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011C7C54">
            <w:pPr>
              <w:rPr>
                <w:rFonts w:hint="eastAsia" w:ascii="宋体" w:hAnsi="宋体" w:eastAsia="宋体" w:cs="宋体"/>
                <w:i w:val="0"/>
                <w:color w:val="auto"/>
                <w:sz w:val="22"/>
                <w:szCs w:val="22"/>
                <w:highlight w:val="none"/>
                <w:u w:val="none"/>
              </w:rPr>
            </w:pPr>
          </w:p>
        </w:tc>
      </w:tr>
      <w:tr w14:paraId="63BE9B02">
        <w:tblPrEx>
          <w:tblCellMar>
            <w:top w:w="0" w:type="dxa"/>
            <w:left w:w="0" w:type="dxa"/>
            <w:bottom w:w="0" w:type="dxa"/>
            <w:right w:w="0" w:type="dxa"/>
          </w:tblCellMar>
        </w:tblPrEx>
        <w:trPr>
          <w:trHeight w:val="640" w:hRule="atLeast"/>
        </w:trPr>
        <w:tc>
          <w:tcPr>
            <w:tcW w:w="58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C219F00">
            <w:pPr>
              <w:jc w:val="center"/>
              <w:rPr>
                <w:rFonts w:hint="eastAsia" w:ascii="宋体" w:hAnsi="宋体" w:eastAsia="宋体" w:cs="宋体"/>
                <w:b/>
                <w:i w:val="0"/>
                <w:color w:val="auto"/>
                <w:sz w:val="21"/>
                <w:szCs w:val="21"/>
                <w:highlight w:val="none"/>
                <w:u w:val="none"/>
              </w:rPr>
            </w:pPr>
          </w:p>
        </w:tc>
        <w:tc>
          <w:tcPr>
            <w:tcW w:w="649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471976C1">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（11）不配合医院工作，不接受监督检查的每次扣100元，对医院工作直接造成影响的，根据实际情况每次扣500-10000元。</w:t>
            </w:r>
          </w:p>
        </w:tc>
        <w:tc>
          <w:tcPr>
            <w:tcW w:w="115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4E7E05F0">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优：5</w:t>
            </w:r>
          </w:p>
          <w:p w14:paraId="260480B2">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良：3</w:t>
            </w:r>
          </w:p>
          <w:p w14:paraId="4037F25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1"/>
                <w:szCs w:val="21"/>
                <w:highlight w:val="none"/>
                <w:u w:val="none"/>
                <w:lang w:val="en-US" w:eastAsia="zh-CN" w:bidi="ar"/>
              </w:rPr>
              <w:t>差：1</w:t>
            </w:r>
          </w:p>
        </w:tc>
        <w:tc>
          <w:tcPr>
            <w:tcW w:w="88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0CA9843B">
            <w:pPr>
              <w:jc w:val="center"/>
              <w:rPr>
                <w:rFonts w:hint="eastAsia" w:ascii="宋体" w:hAnsi="宋体" w:eastAsia="宋体" w:cs="宋体"/>
                <w:i w:val="0"/>
                <w:color w:val="auto"/>
                <w:sz w:val="22"/>
                <w:szCs w:val="22"/>
                <w:highlight w:val="none"/>
                <w:u w:val="none"/>
              </w:rPr>
            </w:pPr>
          </w:p>
        </w:tc>
        <w:tc>
          <w:tcPr>
            <w:tcW w:w="111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7EA170FF">
            <w:pPr>
              <w:jc w:val="center"/>
              <w:rPr>
                <w:rFonts w:hint="eastAsia" w:ascii="宋体" w:hAnsi="宋体" w:eastAsia="宋体" w:cs="宋体"/>
                <w:i w:val="0"/>
                <w:color w:val="auto"/>
                <w:sz w:val="22"/>
                <w:szCs w:val="22"/>
                <w:highlight w:val="none"/>
                <w:u w:val="none"/>
              </w:rPr>
            </w:pPr>
          </w:p>
        </w:tc>
        <w:tc>
          <w:tcPr>
            <w:tcW w:w="88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75471856">
            <w:pPr>
              <w:rPr>
                <w:rFonts w:hint="eastAsia" w:ascii="宋体" w:hAnsi="宋体" w:eastAsia="宋体" w:cs="宋体"/>
                <w:i w:val="0"/>
                <w:color w:val="auto"/>
                <w:sz w:val="22"/>
                <w:szCs w:val="22"/>
                <w:highlight w:val="none"/>
                <w:u w:val="none"/>
              </w:rPr>
            </w:pPr>
          </w:p>
        </w:tc>
      </w:tr>
      <w:tr w14:paraId="7B6AA22D">
        <w:tblPrEx>
          <w:tblCellMar>
            <w:top w:w="0" w:type="dxa"/>
            <w:left w:w="0" w:type="dxa"/>
            <w:bottom w:w="0" w:type="dxa"/>
            <w:right w:w="0" w:type="dxa"/>
          </w:tblCellMar>
        </w:tblPrEx>
        <w:trPr>
          <w:trHeight w:val="680" w:hRule="atLeast"/>
        </w:trPr>
        <w:tc>
          <w:tcPr>
            <w:tcW w:w="58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9A750D0">
            <w:pPr>
              <w:jc w:val="center"/>
              <w:rPr>
                <w:rFonts w:hint="eastAsia" w:ascii="宋体" w:hAnsi="宋体" w:eastAsia="宋体" w:cs="宋体"/>
                <w:b/>
                <w:i w:val="0"/>
                <w:color w:val="auto"/>
                <w:sz w:val="21"/>
                <w:szCs w:val="21"/>
                <w:highlight w:val="none"/>
                <w:u w:val="none"/>
              </w:rPr>
            </w:pPr>
          </w:p>
        </w:tc>
        <w:tc>
          <w:tcPr>
            <w:tcW w:w="649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1A058C1A">
            <w:pPr>
              <w:keepNext w:val="0"/>
              <w:keepLines w:val="0"/>
              <w:widowControl/>
              <w:suppressLineNumbers w:val="0"/>
              <w:jc w:val="both"/>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（12）干净被服储存未按院感要求进行储存的，达不到感控标准的，每次扣罚500元。</w:t>
            </w:r>
          </w:p>
        </w:tc>
        <w:tc>
          <w:tcPr>
            <w:tcW w:w="115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0D87622A">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优：5</w:t>
            </w:r>
          </w:p>
          <w:p w14:paraId="53E0617B">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良：3</w:t>
            </w:r>
          </w:p>
          <w:p w14:paraId="79BE518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1"/>
                <w:szCs w:val="21"/>
                <w:highlight w:val="none"/>
                <w:u w:val="none"/>
                <w:lang w:val="en-US" w:eastAsia="zh-CN" w:bidi="ar"/>
              </w:rPr>
              <w:t>差：1</w:t>
            </w:r>
          </w:p>
        </w:tc>
        <w:tc>
          <w:tcPr>
            <w:tcW w:w="88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07CA4591">
            <w:pPr>
              <w:jc w:val="center"/>
              <w:rPr>
                <w:rFonts w:hint="eastAsia" w:ascii="宋体" w:hAnsi="宋体" w:eastAsia="宋体" w:cs="宋体"/>
                <w:i w:val="0"/>
                <w:color w:val="auto"/>
                <w:sz w:val="22"/>
                <w:szCs w:val="22"/>
                <w:highlight w:val="none"/>
                <w:u w:val="none"/>
              </w:rPr>
            </w:pPr>
          </w:p>
        </w:tc>
        <w:tc>
          <w:tcPr>
            <w:tcW w:w="111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3A295A70">
            <w:pPr>
              <w:jc w:val="center"/>
              <w:rPr>
                <w:rFonts w:hint="eastAsia" w:ascii="宋体" w:hAnsi="宋体" w:eastAsia="宋体" w:cs="宋体"/>
                <w:i w:val="0"/>
                <w:color w:val="auto"/>
                <w:sz w:val="22"/>
                <w:szCs w:val="22"/>
                <w:highlight w:val="none"/>
                <w:u w:val="none"/>
              </w:rPr>
            </w:pPr>
          </w:p>
        </w:tc>
        <w:tc>
          <w:tcPr>
            <w:tcW w:w="88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76890318">
            <w:pPr>
              <w:rPr>
                <w:rFonts w:hint="eastAsia" w:ascii="宋体" w:hAnsi="宋体" w:eastAsia="宋体" w:cs="宋体"/>
                <w:i w:val="0"/>
                <w:color w:val="auto"/>
                <w:sz w:val="22"/>
                <w:szCs w:val="22"/>
                <w:highlight w:val="none"/>
                <w:u w:val="none"/>
              </w:rPr>
            </w:pPr>
          </w:p>
        </w:tc>
      </w:tr>
      <w:tr w14:paraId="734C4FCE">
        <w:tblPrEx>
          <w:tblCellMar>
            <w:top w:w="0" w:type="dxa"/>
            <w:left w:w="0" w:type="dxa"/>
            <w:bottom w:w="0" w:type="dxa"/>
            <w:right w:w="0" w:type="dxa"/>
          </w:tblCellMar>
        </w:tblPrEx>
        <w:trPr>
          <w:trHeight w:val="920" w:hRule="atLeast"/>
        </w:trPr>
        <w:tc>
          <w:tcPr>
            <w:tcW w:w="58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950A53A">
            <w:pPr>
              <w:jc w:val="center"/>
              <w:rPr>
                <w:rFonts w:hint="eastAsia" w:ascii="宋体" w:hAnsi="宋体" w:eastAsia="宋体" w:cs="宋体"/>
                <w:b/>
                <w:i w:val="0"/>
                <w:color w:val="auto"/>
                <w:sz w:val="21"/>
                <w:szCs w:val="21"/>
                <w:highlight w:val="none"/>
                <w:u w:val="none"/>
              </w:rPr>
            </w:pPr>
          </w:p>
        </w:tc>
        <w:tc>
          <w:tcPr>
            <w:tcW w:w="649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54FC2CBB">
            <w:pPr>
              <w:keepNext w:val="0"/>
              <w:keepLines w:val="0"/>
              <w:widowControl/>
              <w:numPr>
                <w:ilvl w:val="0"/>
                <w:numId w:val="3"/>
              </w:numPr>
              <w:suppressLineNumbers w:val="0"/>
              <w:jc w:val="left"/>
              <w:textAlignment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洗涤公司必须在规定的时间内接送医院需洗涤的物品，杜绝欠条（特殊情况除外）。如有拖延情况影响医院工作的正常开展，医院可以根据实际情况扣除100-500元惩罚，从洗涤费中扣除。</w:t>
            </w:r>
          </w:p>
          <w:p w14:paraId="1EE937DD">
            <w:pPr>
              <w:widowControl w:val="0"/>
              <w:numPr>
                <w:ilvl w:val="0"/>
                <w:numId w:val="3"/>
              </w:numPr>
              <w:adjustRightInd w:val="0"/>
              <w:spacing w:line="420" w:lineRule="atLeast"/>
              <w:jc w:val="left"/>
              <w:textAlignment w:val="baseline"/>
              <w:rPr>
                <w:rFonts w:hint="eastAsia" w:ascii="Times New Roman" w:hAnsi="Times New Roman" w:eastAsia="宋体" w:cs="Times New Roman"/>
                <w:color w:val="auto"/>
                <w:kern w:val="0"/>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被服没有按时下送，拖延时间超过 30 分钟以上的每次扣 200 元，造成影响手术的每次扣 500 元； 或因被服洗涤质量原因，造成影响手术的每次最低扣除 1000 元；因停水、停电、锅炉坏（三天以上）及不可抗力因素的可以免责，但要及时做好补救工作，不能影响医院工作的正常开展。</w:t>
            </w:r>
          </w:p>
        </w:tc>
        <w:tc>
          <w:tcPr>
            <w:tcW w:w="115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430D5BA5">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优：5</w:t>
            </w:r>
          </w:p>
          <w:p w14:paraId="28DD9F79">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良：3</w:t>
            </w:r>
          </w:p>
          <w:p w14:paraId="2D8EBBE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1"/>
                <w:szCs w:val="21"/>
                <w:highlight w:val="none"/>
                <w:u w:val="none"/>
                <w:lang w:val="en-US" w:eastAsia="zh-CN" w:bidi="ar"/>
              </w:rPr>
              <w:t>差：1</w:t>
            </w:r>
          </w:p>
        </w:tc>
        <w:tc>
          <w:tcPr>
            <w:tcW w:w="88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171FC497">
            <w:pPr>
              <w:jc w:val="center"/>
              <w:rPr>
                <w:rFonts w:hint="eastAsia" w:ascii="宋体" w:hAnsi="宋体" w:eastAsia="宋体" w:cs="宋体"/>
                <w:i w:val="0"/>
                <w:color w:val="auto"/>
                <w:sz w:val="22"/>
                <w:szCs w:val="22"/>
                <w:highlight w:val="none"/>
                <w:u w:val="none"/>
              </w:rPr>
            </w:pPr>
          </w:p>
        </w:tc>
        <w:tc>
          <w:tcPr>
            <w:tcW w:w="111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09CF6CE0">
            <w:pPr>
              <w:jc w:val="center"/>
              <w:rPr>
                <w:rFonts w:hint="eastAsia" w:ascii="宋体" w:hAnsi="宋体" w:eastAsia="宋体" w:cs="宋体"/>
                <w:i w:val="0"/>
                <w:color w:val="auto"/>
                <w:sz w:val="22"/>
                <w:szCs w:val="22"/>
                <w:highlight w:val="none"/>
                <w:u w:val="none"/>
              </w:rPr>
            </w:pPr>
          </w:p>
        </w:tc>
        <w:tc>
          <w:tcPr>
            <w:tcW w:w="88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6185E89D">
            <w:pPr>
              <w:rPr>
                <w:rFonts w:hint="eastAsia" w:ascii="宋体" w:hAnsi="宋体" w:eastAsia="宋体" w:cs="宋体"/>
                <w:i w:val="0"/>
                <w:color w:val="auto"/>
                <w:sz w:val="22"/>
                <w:szCs w:val="22"/>
                <w:highlight w:val="none"/>
                <w:u w:val="none"/>
              </w:rPr>
            </w:pPr>
          </w:p>
        </w:tc>
      </w:tr>
      <w:tr w14:paraId="1ED27FFB">
        <w:tblPrEx>
          <w:tblCellMar>
            <w:top w:w="0" w:type="dxa"/>
            <w:left w:w="0" w:type="dxa"/>
            <w:bottom w:w="0" w:type="dxa"/>
            <w:right w:w="0" w:type="dxa"/>
          </w:tblCellMar>
        </w:tblPrEx>
        <w:trPr>
          <w:trHeight w:val="740" w:hRule="atLeast"/>
        </w:trPr>
        <w:tc>
          <w:tcPr>
            <w:tcW w:w="58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EBFB373">
            <w:pPr>
              <w:jc w:val="center"/>
              <w:rPr>
                <w:rFonts w:hint="eastAsia" w:ascii="宋体" w:hAnsi="宋体" w:eastAsia="宋体" w:cs="宋体"/>
                <w:b/>
                <w:i w:val="0"/>
                <w:color w:val="auto"/>
                <w:sz w:val="21"/>
                <w:szCs w:val="21"/>
                <w:highlight w:val="none"/>
                <w:u w:val="none"/>
              </w:rPr>
            </w:pPr>
          </w:p>
        </w:tc>
        <w:tc>
          <w:tcPr>
            <w:tcW w:w="649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74F1A8F6">
            <w:pPr>
              <w:keepNext w:val="0"/>
              <w:keepLines w:val="0"/>
              <w:widowControl/>
              <w:numPr>
                <w:ilvl w:val="0"/>
                <w:numId w:val="3"/>
              </w:numPr>
              <w:suppressLineNumbers w:val="0"/>
              <w:ind w:left="0" w:leftChars="0" w:firstLine="0" w:firstLineChars="0"/>
              <w:jc w:val="left"/>
              <w:textAlignment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洗涤公司不按收送标准和质量标准完成工作，视情节轻重处罚50元-200元，从洗涤费中扣除。</w:t>
            </w:r>
          </w:p>
          <w:p w14:paraId="6A69EEB9">
            <w:pPr>
              <w:widowControl w:val="0"/>
              <w:numPr>
                <w:ilvl w:val="0"/>
                <w:numId w:val="3"/>
              </w:numPr>
              <w:adjustRightInd w:val="0"/>
              <w:spacing w:line="420" w:lineRule="atLeast"/>
              <w:ind w:left="0" w:leftChars="0" w:firstLine="0" w:firstLineChars="0"/>
              <w:jc w:val="left"/>
              <w:textAlignment w:val="baseline"/>
              <w:rPr>
                <w:rFonts w:hint="eastAsia" w:ascii="Times New Roman" w:hAnsi="Times New Roman" w:eastAsia="宋体" w:cs="Times New Roman"/>
                <w:color w:val="auto"/>
                <w:kern w:val="0"/>
                <w:sz w:val="21"/>
                <w:szCs w:val="24"/>
                <w:highlight w:val="none"/>
                <w:lang w:val="en-US" w:eastAsia="zh-CN" w:bidi="ar-SA"/>
              </w:rPr>
            </w:pPr>
            <w:r>
              <w:rPr>
                <w:rFonts w:hint="eastAsia" w:ascii="Times New Roman" w:hAnsi="Times New Roman" w:eastAsia="宋体" w:cs="Times New Roman"/>
                <w:color w:val="auto"/>
                <w:kern w:val="0"/>
                <w:sz w:val="21"/>
                <w:szCs w:val="24"/>
                <w:highlight w:val="none"/>
                <w:lang w:val="en-US" w:eastAsia="zh-CN" w:bidi="ar-SA"/>
              </w:rPr>
              <w:t>医院定期对洗涤质量进行满意度测评，测评的内容包括：洗涤的洁净度、收发及时性、整烫的平整度、服务态度等具体内容见考核标准-广西医科大学附属武鸣医院洗涤工作管理细则。要求每月的平均分≥85 分，如＜85 分，每低一分扣 500 元（即：=500×（85-X），X 表示实际得分）。连续三月测评均低于 85 分且严重影响医院正常运行时，医院有权解除合同。</w:t>
            </w:r>
          </w:p>
        </w:tc>
        <w:tc>
          <w:tcPr>
            <w:tcW w:w="115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5DE548E4">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优：5</w:t>
            </w:r>
          </w:p>
          <w:p w14:paraId="5DC2556B">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良：3</w:t>
            </w:r>
          </w:p>
          <w:p w14:paraId="5F68D97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1"/>
                <w:szCs w:val="21"/>
                <w:highlight w:val="none"/>
                <w:u w:val="none"/>
                <w:lang w:val="en-US" w:eastAsia="zh-CN" w:bidi="ar"/>
              </w:rPr>
              <w:t>差：1</w:t>
            </w:r>
          </w:p>
        </w:tc>
        <w:tc>
          <w:tcPr>
            <w:tcW w:w="88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6C201C7C">
            <w:pPr>
              <w:jc w:val="center"/>
              <w:rPr>
                <w:rFonts w:hint="eastAsia" w:ascii="宋体" w:hAnsi="宋体" w:eastAsia="宋体" w:cs="宋体"/>
                <w:i w:val="0"/>
                <w:color w:val="auto"/>
                <w:sz w:val="22"/>
                <w:szCs w:val="22"/>
                <w:highlight w:val="none"/>
                <w:u w:val="none"/>
              </w:rPr>
            </w:pPr>
          </w:p>
        </w:tc>
        <w:tc>
          <w:tcPr>
            <w:tcW w:w="111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65019A51">
            <w:pPr>
              <w:jc w:val="center"/>
              <w:rPr>
                <w:rFonts w:hint="eastAsia" w:ascii="宋体" w:hAnsi="宋体" w:eastAsia="宋体" w:cs="宋体"/>
                <w:i w:val="0"/>
                <w:color w:val="auto"/>
                <w:sz w:val="22"/>
                <w:szCs w:val="22"/>
                <w:highlight w:val="none"/>
                <w:u w:val="none"/>
              </w:rPr>
            </w:pPr>
          </w:p>
        </w:tc>
        <w:tc>
          <w:tcPr>
            <w:tcW w:w="88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0161CC70">
            <w:pPr>
              <w:rPr>
                <w:rFonts w:hint="eastAsia" w:ascii="宋体" w:hAnsi="宋体" w:eastAsia="宋体" w:cs="宋体"/>
                <w:i w:val="0"/>
                <w:color w:val="auto"/>
                <w:sz w:val="22"/>
                <w:szCs w:val="22"/>
                <w:highlight w:val="none"/>
                <w:u w:val="none"/>
              </w:rPr>
            </w:pPr>
          </w:p>
        </w:tc>
      </w:tr>
      <w:tr w14:paraId="67095D37">
        <w:tblPrEx>
          <w:tblCellMar>
            <w:top w:w="0" w:type="dxa"/>
            <w:left w:w="0" w:type="dxa"/>
            <w:bottom w:w="0" w:type="dxa"/>
            <w:right w:w="0" w:type="dxa"/>
          </w:tblCellMar>
        </w:tblPrEx>
        <w:trPr>
          <w:trHeight w:val="434" w:hRule="atLeast"/>
        </w:trPr>
        <w:tc>
          <w:tcPr>
            <w:tcW w:w="5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9C51E0">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合计</w:t>
            </w:r>
          </w:p>
        </w:tc>
        <w:tc>
          <w:tcPr>
            <w:tcW w:w="649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72BCA318">
            <w:pPr>
              <w:rPr>
                <w:rFonts w:hint="eastAsia" w:ascii="宋体" w:hAnsi="宋体" w:eastAsia="宋体" w:cs="宋体"/>
                <w:i w:val="0"/>
                <w:color w:val="auto"/>
                <w:sz w:val="22"/>
                <w:szCs w:val="22"/>
                <w:highlight w:val="none"/>
                <w:u w:val="none"/>
              </w:rPr>
            </w:pPr>
          </w:p>
        </w:tc>
        <w:tc>
          <w:tcPr>
            <w:tcW w:w="115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6C07340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100</w:t>
            </w:r>
          </w:p>
        </w:tc>
        <w:tc>
          <w:tcPr>
            <w:tcW w:w="88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21A74FCE">
            <w:pPr>
              <w:jc w:val="center"/>
              <w:rPr>
                <w:rFonts w:hint="eastAsia" w:ascii="宋体" w:hAnsi="宋体" w:eastAsia="宋体" w:cs="宋体"/>
                <w:i w:val="0"/>
                <w:color w:val="auto"/>
                <w:sz w:val="22"/>
                <w:szCs w:val="22"/>
                <w:highlight w:val="none"/>
                <w:u w:val="none"/>
              </w:rPr>
            </w:pPr>
          </w:p>
        </w:tc>
        <w:tc>
          <w:tcPr>
            <w:tcW w:w="111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5D46B293">
            <w:pPr>
              <w:jc w:val="center"/>
              <w:rPr>
                <w:rFonts w:hint="eastAsia" w:ascii="宋体" w:hAnsi="宋体" w:eastAsia="宋体" w:cs="宋体"/>
                <w:i w:val="0"/>
                <w:color w:val="auto"/>
                <w:sz w:val="22"/>
                <w:szCs w:val="22"/>
                <w:highlight w:val="none"/>
                <w:u w:val="none"/>
              </w:rPr>
            </w:pPr>
          </w:p>
        </w:tc>
        <w:tc>
          <w:tcPr>
            <w:tcW w:w="88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7D8EE50E">
            <w:pPr>
              <w:rPr>
                <w:rFonts w:hint="eastAsia" w:ascii="宋体" w:hAnsi="宋体" w:eastAsia="宋体" w:cs="宋体"/>
                <w:i w:val="0"/>
                <w:color w:val="auto"/>
                <w:sz w:val="22"/>
                <w:szCs w:val="22"/>
                <w:highlight w:val="none"/>
                <w:u w:val="none"/>
              </w:rPr>
            </w:pPr>
          </w:p>
        </w:tc>
      </w:tr>
    </w:tbl>
    <w:p w14:paraId="6D3F837C">
      <w:pPr>
        <w:rPr>
          <w:rFonts w:hint="eastAsia" w:ascii="黑体" w:hAnsi="黑体" w:eastAsia="黑体" w:cs="黑体"/>
          <w:color w:val="auto"/>
          <w:sz w:val="32"/>
          <w:szCs w:val="32"/>
          <w:highlight w:val="none"/>
        </w:rPr>
      </w:pPr>
    </w:p>
    <w:p w14:paraId="7CE820FC">
      <w:pP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75E22B54">
      <w:pPr>
        <w:shd w:val="clear"/>
        <w:rPr>
          <w:rFonts w:hint="eastAsia" w:ascii="黑体" w:hAnsi="黑体" w:eastAsia="黑体" w:cs="黑体"/>
          <w:color w:val="auto"/>
          <w:sz w:val="32"/>
          <w:szCs w:val="32"/>
          <w:highlight w:val="none"/>
        </w:rPr>
      </w:pPr>
    </w:p>
    <w:p w14:paraId="4DC4682A">
      <w:pPr>
        <w:shd w:val="clear"/>
        <w:jc w:val="left"/>
        <w:rPr>
          <w:rFonts w:hint="eastAsia" w:ascii="宋体" w:hAnsi="宋体" w:cs="宋体"/>
          <w:color w:val="auto"/>
          <w:sz w:val="20"/>
          <w:szCs w:val="20"/>
          <w:highlight w:val="none"/>
        </w:rPr>
      </w:pPr>
    </w:p>
    <w:p w14:paraId="325CB1DA">
      <w:pPr>
        <w:pStyle w:val="3"/>
        <w:shd w:val="clear"/>
        <w:spacing w:before="0" w:after="0" w:line="360" w:lineRule="auto"/>
        <w:jc w:val="center"/>
        <w:rPr>
          <w:color w:val="auto"/>
          <w:highlight w:val="none"/>
        </w:rPr>
      </w:pPr>
      <w:bookmarkStart w:id="48" w:name="_Toc74320802"/>
      <w:bookmarkStart w:id="49" w:name="_Toc7629"/>
      <w:r>
        <w:rPr>
          <w:rFonts w:hint="eastAsia"/>
          <w:color w:val="auto"/>
          <w:highlight w:val="none"/>
        </w:rPr>
        <w:t>第三章  投标人须知</w:t>
      </w:r>
      <w:bookmarkEnd w:id="48"/>
      <w:bookmarkEnd w:id="49"/>
    </w:p>
    <w:p w14:paraId="51C5478F">
      <w:pPr>
        <w:shd w:val="clear"/>
        <w:spacing w:line="360" w:lineRule="auto"/>
        <w:jc w:val="center"/>
        <w:rPr>
          <w:color w:val="auto"/>
          <w:sz w:val="36"/>
          <w:szCs w:val="36"/>
          <w:highlight w:val="none"/>
        </w:rPr>
      </w:pPr>
      <w:bookmarkStart w:id="50" w:name="_Toc254970667"/>
      <w:bookmarkStart w:id="51" w:name="_Toc254970526"/>
      <w:r>
        <w:rPr>
          <w:rFonts w:hint="eastAsia"/>
          <w:color w:val="auto"/>
          <w:sz w:val="36"/>
          <w:szCs w:val="36"/>
          <w:highlight w:val="none"/>
        </w:rPr>
        <w:t>投标人须知前附表</w:t>
      </w:r>
      <w:bookmarkEnd w:id="50"/>
      <w:bookmarkEnd w:id="51"/>
    </w:p>
    <w:tbl>
      <w:tblPr>
        <w:tblStyle w:val="48"/>
        <w:tblW w:w="4993"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27"/>
        <w:gridCol w:w="8921"/>
      </w:tblGrid>
      <w:tr w14:paraId="63547F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516" w:type="pct"/>
            <w:tcBorders>
              <w:top w:val="single" w:color="auto" w:sz="4" w:space="0"/>
              <w:left w:val="single" w:color="auto" w:sz="4" w:space="0"/>
              <w:bottom w:val="single" w:color="auto" w:sz="4" w:space="0"/>
              <w:right w:val="single" w:color="auto" w:sz="4" w:space="0"/>
            </w:tcBorders>
            <w:vAlign w:val="center"/>
          </w:tcPr>
          <w:p w14:paraId="23BB281C">
            <w:pPr>
              <w:shd w:val="clear"/>
              <w:spacing w:line="360" w:lineRule="auto"/>
              <w:jc w:val="left"/>
              <w:rPr>
                <w:rFonts w:hint="eastAsia" w:ascii="宋体" w:hAnsi="宋体"/>
                <w:color w:val="auto"/>
                <w:szCs w:val="21"/>
                <w:highlight w:val="none"/>
              </w:rPr>
            </w:pPr>
            <w:r>
              <w:rPr>
                <w:rFonts w:hint="eastAsia" w:ascii="宋体" w:hAnsi="宋体"/>
                <w:color w:val="auto"/>
                <w:szCs w:val="21"/>
                <w:highlight w:val="none"/>
              </w:rPr>
              <w:t>条款号</w:t>
            </w:r>
          </w:p>
        </w:tc>
        <w:tc>
          <w:tcPr>
            <w:tcW w:w="4483" w:type="pct"/>
            <w:tcBorders>
              <w:top w:val="single" w:color="auto" w:sz="4" w:space="0"/>
              <w:left w:val="single" w:color="auto" w:sz="4" w:space="0"/>
              <w:bottom w:val="single" w:color="auto" w:sz="4" w:space="0"/>
              <w:right w:val="single" w:color="auto" w:sz="4" w:space="0"/>
            </w:tcBorders>
            <w:vAlign w:val="center"/>
          </w:tcPr>
          <w:p w14:paraId="55D4519C">
            <w:pPr>
              <w:shd w:val="clear"/>
              <w:spacing w:line="360" w:lineRule="auto"/>
              <w:jc w:val="center"/>
              <w:rPr>
                <w:rFonts w:hint="eastAsia" w:ascii="宋体" w:hAnsi="宋体"/>
                <w:color w:val="auto"/>
                <w:szCs w:val="21"/>
                <w:highlight w:val="none"/>
              </w:rPr>
            </w:pPr>
            <w:r>
              <w:rPr>
                <w:rFonts w:hint="eastAsia" w:ascii="宋体" w:hAnsi="宋体"/>
                <w:color w:val="auto"/>
                <w:szCs w:val="21"/>
                <w:highlight w:val="none"/>
              </w:rPr>
              <w:t>编列内容</w:t>
            </w:r>
          </w:p>
        </w:tc>
      </w:tr>
      <w:tr w14:paraId="173D57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20F93318">
            <w:pPr>
              <w:shd w:val="clea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p>
        </w:tc>
        <w:tc>
          <w:tcPr>
            <w:tcW w:w="4483" w:type="pct"/>
            <w:tcBorders>
              <w:top w:val="single" w:color="auto" w:sz="4" w:space="0"/>
              <w:left w:val="single" w:color="auto" w:sz="4" w:space="0"/>
              <w:bottom w:val="single" w:color="auto" w:sz="4" w:space="0"/>
              <w:right w:val="single" w:color="auto" w:sz="4" w:space="0"/>
            </w:tcBorders>
            <w:vAlign w:val="center"/>
          </w:tcPr>
          <w:p w14:paraId="3A4EFE10">
            <w:pPr>
              <w:shd w:val="clear"/>
              <w:spacing w:line="360" w:lineRule="auto"/>
              <w:jc w:val="left"/>
              <w:rPr>
                <w:rFonts w:hint="eastAsia" w:ascii="宋体" w:hAnsi="宋体"/>
                <w:color w:val="auto"/>
                <w:szCs w:val="21"/>
                <w:highlight w:val="none"/>
              </w:rPr>
            </w:pPr>
            <w:r>
              <w:rPr>
                <w:rFonts w:hint="eastAsia" w:ascii="宋体" w:hAnsi="宋体"/>
                <w:color w:val="auto"/>
                <w:szCs w:val="21"/>
                <w:highlight w:val="none"/>
              </w:rPr>
              <w:t>详见招标公告。</w:t>
            </w:r>
          </w:p>
        </w:tc>
      </w:tr>
      <w:tr w14:paraId="16353A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03E4C89D">
            <w:pPr>
              <w:shd w:val="clear"/>
              <w:spacing w:line="360" w:lineRule="auto"/>
              <w:jc w:val="center"/>
              <w:rPr>
                <w:rFonts w:hint="eastAsia" w:ascii="宋体" w:hAnsi="宋体"/>
                <w:color w:val="auto"/>
                <w:szCs w:val="21"/>
                <w:highlight w:val="none"/>
              </w:rPr>
            </w:pPr>
            <w:bookmarkStart w:id="52" w:name="_8.1"/>
            <w:bookmarkEnd w:id="52"/>
            <w:bookmarkStart w:id="53" w:name="_9.2"/>
            <w:bookmarkEnd w:id="53"/>
            <w:bookmarkStart w:id="54" w:name="_5"/>
            <w:bookmarkEnd w:id="54"/>
            <w:r>
              <w:rPr>
                <w:rFonts w:hint="eastAsia" w:ascii="宋体" w:hAnsi="宋体"/>
                <w:color w:val="auto"/>
                <w:szCs w:val="21"/>
                <w:highlight w:val="none"/>
              </w:rPr>
              <w:t>6.1</w:t>
            </w:r>
          </w:p>
        </w:tc>
        <w:tc>
          <w:tcPr>
            <w:tcW w:w="4483" w:type="pct"/>
            <w:tcBorders>
              <w:top w:val="single" w:color="auto" w:sz="4" w:space="0"/>
              <w:left w:val="single" w:color="auto" w:sz="4" w:space="0"/>
              <w:bottom w:val="single" w:color="auto" w:sz="4" w:space="0"/>
              <w:right w:val="single" w:color="auto" w:sz="4" w:space="0"/>
            </w:tcBorders>
            <w:vAlign w:val="center"/>
          </w:tcPr>
          <w:p w14:paraId="2B04B8AB">
            <w:pPr>
              <w:pStyle w:val="17"/>
              <w:shd w:val="clear"/>
              <w:spacing w:line="360" w:lineRule="auto"/>
              <w:rPr>
                <w:rFonts w:hint="eastAsia" w:ascii="宋体" w:hAnsi="宋体"/>
                <w:color w:val="auto"/>
                <w:szCs w:val="21"/>
                <w:highlight w:val="none"/>
              </w:rPr>
            </w:pPr>
            <w:r>
              <w:rPr>
                <w:rFonts w:hint="eastAsia" w:ascii="宋体" w:hAnsi="宋体"/>
                <w:color w:val="auto"/>
                <w:szCs w:val="21"/>
                <w:highlight w:val="none"/>
              </w:rPr>
              <w:t>本项目是否接受联合体投标：详见招标公告。</w:t>
            </w:r>
          </w:p>
        </w:tc>
      </w:tr>
      <w:tr w14:paraId="00C268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1AA4EAC1">
            <w:pPr>
              <w:shd w:val="clear"/>
              <w:spacing w:line="360" w:lineRule="auto"/>
              <w:jc w:val="center"/>
              <w:rPr>
                <w:rFonts w:hint="eastAsia" w:ascii="宋体" w:hAnsi="宋体"/>
                <w:color w:val="auto"/>
                <w:szCs w:val="21"/>
                <w:highlight w:val="none"/>
              </w:rPr>
            </w:pPr>
            <w:r>
              <w:rPr>
                <w:rFonts w:ascii="宋体" w:hAnsi="宋体"/>
                <w:color w:val="auto"/>
                <w:szCs w:val="21"/>
                <w:highlight w:val="none"/>
              </w:rPr>
              <w:t>6.2</w:t>
            </w:r>
          </w:p>
        </w:tc>
        <w:tc>
          <w:tcPr>
            <w:tcW w:w="4483" w:type="pct"/>
            <w:tcBorders>
              <w:top w:val="single" w:color="auto" w:sz="4" w:space="0"/>
              <w:left w:val="single" w:color="auto" w:sz="4" w:space="0"/>
              <w:bottom w:val="single" w:color="auto" w:sz="4" w:space="0"/>
              <w:right w:val="single" w:color="auto" w:sz="4" w:space="0"/>
            </w:tcBorders>
            <w:vAlign w:val="center"/>
          </w:tcPr>
          <w:p w14:paraId="59D4B3F2">
            <w:pPr>
              <w:pStyle w:val="17"/>
              <w:shd w:val="clear"/>
              <w:spacing w:line="360" w:lineRule="auto"/>
              <w:rPr>
                <w:rFonts w:hint="eastAsia" w:ascii="宋体" w:hAnsi="宋体"/>
                <w:color w:val="auto"/>
                <w:szCs w:val="21"/>
                <w:highlight w:val="none"/>
              </w:rPr>
            </w:pPr>
            <w:bookmarkStart w:id="55" w:name="_Hlk54105293"/>
            <w:r>
              <w:rPr>
                <w:rFonts w:hint="eastAsia" w:ascii="宋体" w:hAnsi="宋体"/>
                <w:color w:val="auto"/>
                <w:szCs w:val="21"/>
                <w:highlight w:val="none"/>
              </w:rPr>
              <w:t>如接受联合体投标，</w:t>
            </w:r>
            <w:bookmarkEnd w:id="55"/>
            <w:r>
              <w:rPr>
                <w:rFonts w:hint="eastAsia" w:ascii="宋体" w:hAnsi="宋体"/>
                <w:color w:val="auto"/>
                <w:szCs w:val="21"/>
                <w:highlight w:val="none"/>
              </w:rPr>
              <w:t>联合体投标要求如下：无</w:t>
            </w:r>
          </w:p>
        </w:tc>
      </w:tr>
      <w:tr w14:paraId="54F2C9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5E9515A1">
            <w:pPr>
              <w:shd w:val="clear"/>
              <w:spacing w:line="360" w:lineRule="auto"/>
              <w:jc w:val="center"/>
              <w:rPr>
                <w:rFonts w:hint="eastAsia" w:ascii="宋体" w:hAnsi="宋体"/>
                <w:color w:val="auto"/>
                <w:szCs w:val="21"/>
                <w:highlight w:val="none"/>
              </w:rPr>
            </w:pPr>
            <w:r>
              <w:rPr>
                <w:rFonts w:hint="eastAsia" w:ascii="宋体" w:hAnsi="宋体"/>
                <w:color w:val="auto"/>
                <w:szCs w:val="21"/>
                <w:highlight w:val="none"/>
              </w:rPr>
              <w:t>7.2</w:t>
            </w:r>
          </w:p>
        </w:tc>
        <w:tc>
          <w:tcPr>
            <w:tcW w:w="4483" w:type="pct"/>
            <w:tcBorders>
              <w:top w:val="single" w:color="auto" w:sz="4" w:space="0"/>
              <w:left w:val="single" w:color="auto" w:sz="4" w:space="0"/>
              <w:bottom w:val="single" w:color="auto" w:sz="4" w:space="0"/>
              <w:right w:val="single" w:color="auto" w:sz="4" w:space="0"/>
            </w:tcBorders>
            <w:vAlign w:val="center"/>
          </w:tcPr>
          <w:p w14:paraId="69E7AF21">
            <w:pPr>
              <w:pStyle w:val="17"/>
              <w:shd w:val="clear"/>
              <w:spacing w:line="360" w:lineRule="auto"/>
              <w:rPr>
                <w:rFonts w:hint="eastAsia" w:ascii="宋体" w:hAnsi="宋体"/>
                <w:color w:val="auto"/>
                <w:szCs w:val="21"/>
                <w:highlight w:val="none"/>
                <w:u w:val="single"/>
              </w:rPr>
            </w:pPr>
            <w:r>
              <w:rPr>
                <w:rFonts w:hint="eastAsia" w:ascii="宋体" w:hAnsi="宋体"/>
                <w:b/>
                <w:color w:val="auto"/>
                <w:szCs w:val="21"/>
                <w:highlight w:val="none"/>
              </w:rPr>
              <w:t>√不允许分包</w:t>
            </w:r>
          </w:p>
        </w:tc>
      </w:tr>
      <w:tr w14:paraId="4E6035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1300FE86">
            <w:pPr>
              <w:shd w:val="clea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5</w:t>
            </w:r>
          </w:p>
        </w:tc>
        <w:tc>
          <w:tcPr>
            <w:tcW w:w="4483" w:type="pct"/>
            <w:tcBorders>
              <w:top w:val="single" w:color="auto" w:sz="4" w:space="0"/>
              <w:left w:val="single" w:color="auto" w:sz="4" w:space="0"/>
              <w:bottom w:val="single" w:color="auto" w:sz="4" w:space="0"/>
              <w:right w:val="single" w:color="auto" w:sz="4" w:space="0"/>
            </w:tcBorders>
            <w:vAlign w:val="center"/>
          </w:tcPr>
          <w:p w14:paraId="709884CF">
            <w:pPr>
              <w:shd w:val="clear"/>
              <w:spacing w:line="360" w:lineRule="auto"/>
              <w:rPr>
                <w:rFonts w:hint="eastAsia" w:ascii="宋体" w:hAnsi="宋体"/>
                <w:b/>
                <w:color w:val="auto"/>
                <w:szCs w:val="21"/>
                <w:highlight w:val="none"/>
              </w:rPr>
            </w:pPr>
            <w:r>
              <w:rPr>
                <w:rFonts w:hint="eastAsia" w:ascii="宋体" w:hAnsi="宋体"/>
                <w:b/>
                <w:color w:val="auto"/>
                <w:szCs w:val="21"/>
                <w:highlight w:val="none"/>
              </w:rPr>
              <w:t>√不组织现场考察</w:t>
            </w:r>
          </w:p>
          <w:p w14:paraId="3DFCFC80">
            <w:pPr>
              <w:shd w:val="clear"/>
              <w:spacing w:line="360" w:lineRule="auto"/>
              <w:rPr>
                <w:rFonts w:hint="eastAsia" w:ascii="宋体" w:hAnsi="宋体"/>
                <w:color w:val="auto"/>
                <w:szCs w:val="21"/>
                <w:highlight w:val="none"/>
              </w:rPr>
            </w:pPr>
            <w:r>
              <w:rPr>
                <w:rFonts w:hint="eastAsia" w:ascii="宋体" w:hAnsi="宋体"/>
                <w:b/>
                <w:color w:val="auto"/>
                <w:szCs w:val="21"/>
                <w:highlight w:val="none"/>
              </w:rPr>
              <w:t>√不组织召开开标前答疑会</w:t>
            </w:r>
          </w:p>
        </w:tc>
      </w:tr>
      <w:tr w14:paraId="7E509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vMerge w:val="restart"/>
            <w:tcBorders>
              <w:top w:val="single" w:color="auto" w:sz="4" w:space="0"/>
              <w:left w:val="single" w:color="auto" w:sz="4" w:space="0"/>
              <w:right w:val="single" w:color="auto" w:sz="4" w:space="0"/>
            </w:tcBorders>
            <w:vAlign w:val="center"/>
          </w:tcPr>
          <w:p w14:paraId="7979A2F7">
            <w:pPr>
              <w:shd w:val="clear"/>
              <w:spacing w:line="360" w:lineRule="auto"/>
              <w:jc w:val="center"/>
              <w:rPr>
                <w:rFonts w:hint="eastAsia" w:ascii="宋体" w:hAnsi="宋体"/>
                <w:color w:val="auto"/>
                <w:szCs w:val="21"/>
                <w:highlight w:val="none"/>
              </w:rPr>
            </w:pPr>
            <w:bookmarkStart w:id="56" w:name="_13.1"/>
            <w:bookmarkEnd w:id="56"/>
            <w:r>
              <w:rPr>
                <w:rFonts w:hint="eastAsia" w:ascii="宋体" w:hAnsi="宋体"/>
                <w:color w:val="auto"/>
                <w:szCs w:val="21"/>
                <w:highlight w:val="none"/>
              </w:rPr>
              <w:t>13.</w:t>
            </w:r>
            <w:bookmarkStart w:id="57" w:name="_Hlt19632543"/>
            <w:r>
              <w:rPr>
                <w:rFonts w:hint="eastAsia" w:ascii="宋体" w:hAnsi="宋体"/>
                <w:color w:val="auto"/>
                <w:szCs w:val="21"/>
                <w:highlight w:val="none"/>
              </w:rPr>
              <w:t>1</w:t>
            </w:r>
            <w:bookmarkEnd w:id="57"/>
          </w:p>
        </w:tc>
        <w:tc>
          <w:tcPr>
            <w:tcW w:w="4483" w:type="pct"/>
            <w:tcBorders>
              <w:top w:val="single" w:color="auto" w:sz="4" w:space="0"/>
              <w:left w:val="single" w:color="auto" w:sz="4" w:space="0"/>
              <w:bottom w:val="single" w:color="auto" w:sz="4" w:space="0"/>
              <w:right w:val="single" w:color="auto" w:sz="4" w:space="0"/>
            </w:tcBorders>
            <w:vAlign w:val="center"/>
          </w:tcPr>
          <w:p w14:paraId="559D486C">
            <w:pPr>
              <w:shd w:val="clear"/>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报价文件：</w:t>
            </w:r>
          </w:p>
          <w:p w14:paraId="0A7C1252">
            <w:pPr>
              <w:numPr>
                <w:ilvl w:val="0"/>
                <w:numId w:val="4"/>
              </w:numPr>
              <w:shd w:val="clear"/>
              <w:tabs>
                <w:tab w:val="left" w:pos="459"/>
              </w:tabs>
              <w:spacing w:line="360" w:lineRule="auto"/>
              <w:jc w:val="left"/>
              <w:rPr>
                <w:rFonts w:hint="eastAsia" w:ascii="宋体" w:hAnsi="宋体"/>
                <w:color w:val="auto"/>
                <w:szCs w:val="21"/>
                <w:highlight w:val="none"/>
              </w:rPr>
            </w:pPr>
            <w:r>
              <w:rPr>
                <w:rFonts w:hint="eastAsia" w:ascii="宋体" w:hAnsi="宋体"/>
                <w:color w:val="auto"/>
                <w:szCs w:val="21"/>
                <w:highlight w:val="none"/>
              </w:rPr>
              <w:t>投标函（格式后附）；</w:t>
            </w:r>
            <w:r>
              <w:rPr>
                <w:rFonts w:hint="eastAsia" w:ascii="宋体" w:hAnsi="宋体"/>
                <w:b/>
                <w:color w:val="auto"/>
                <w:szCs w:val="21"/>
                <w:highlight w:val="none"/>
              </w:rPr>
              <w:t>（必须提供，否则按无效投标处理）</w:t>
            </w:r>
          </w:p>
          <w:p w14:paraId="6DBF3858">
            <w:pPr>
              <w:numPr>
                <w:ilvl w:val="0"/>
                <w:numId w:val="4"/>
              </w:numPr>
              <w:shd w:val="clear"/>
              <w:tabs>
                <w:tab w:val="left" w:pos="459"/>
              </w:tabs>
              <w:spacing w:line="360" w:lineRule="auto"/>
              <w:jc w:val="left"/>
              <w:rPr>
                <w:rFonts w:hint="eastAsia" w:ascii="宋体" w:hAnsi="宋体"/>
                <w:color w:val="auto"/>
                <w:szCs w:val="21"/>
                <w:highlight w:val="none"/>
              </w:rPr>
            </w:pPr>
            <w:bookmarkStart w:id="58" w:name="_Hlk71299233"/>
            <w:r>
              <w:rPr>
                <w:rFonts w:hint="eastAsia" w:ascii="宋体" w:hAnsi="宋体"/>
                <w:color w:val="auto"/>
                <w:szCs w:val="21"/>
                <w:highlight w:val="none"/>
              </w:rPr>
              <w:t>开标一览表</w:t>
            </w:r>
            <w:bookmarkEnd w:id="58"/>
            <w:r>
              <w:rPr>
                <w:rFonts w:hint="eastAsia" w:ascii="宋体" w:hAnsi="宋体"/>
                <w:color w:val="auto"/>
                <w:szCs w:val="21"/>
                <w:highlight w:val="none"/>
              </w:rPr>
              <w:t>（格式后附）； （</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6A993C11">
            <w:pPr>
              <w:numPr>
                <w:ilvl w:val="0"/>
                <w:numId w:val="4"/>
              </w:numPr>
              <w:shd w:val="clear"/>
              <w:tabs>
                <w:tab w:val="left" w:pos="459"/>
              </w:tabs>
              <w:spacing w:line="360" w:lineRule="auto"/>
              <w:jc w:val="left"/>
              <w:rPr>
                <w:rFonts w:hint="eastAsia" w:ascii="宋体" w:hAnsi="宋体"/>
                <w:color w:val="auto"/>
                <w:szCs w:val="21"/>
                <w:highlight w:val="none"/>
              </w:rPr>
            </w:pPr>
            <w:r>
              <w:rPr>
                <w:rFonts w:hint="eastAsia" w:ascii="宋体" w:hAnsi="宋体"/>
                <w:color w:val="auto"/>
                <w:szCs w:val="21"/>
                <w:highlight w:val="none"/>
              </w:rPr>
              <w:t>投标报价明细表（格式后附）； （</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33994186">
            <w:pPr>
              <w:numPr>
                <w:ilvl w:val="0"/>
                <w:numId w:val="4"/>
              </w:numPr>
              <w:shd w:val="clear"/>
              <w:tabs>
                <w:tab w:val="left" w:pos="459"/>
              </w:tabs>
              <w:spacing w:line="360" w:lineRule="auto"/>
              <w:jc w:val="left"/>
              <w:rPr>
                <w:rFonts w:hint="eastAsia" w:ascii="宋体" w:hAnsi="宋体"/>
                <w:color w:val="auto"/>
                <w:szCs w:val="21"/>
                <w:highlight w:val="none"/>
              </w:rPr>
            </w:pPr>
            <w:r>
              <w:rPr>
                <w:rFonts w:hint="eastAsia" w:ascii="宋体" w:hAnsi="宋体"/>
                <w:color w:val="auto"/>
                <w:szCs w:val="21"/>
                <w:highlight w:val="none"/>
              </w:rPr>
              <w:t>投标人针对报价需要说明的其他文件和说明（格式自拟）。</w:t>
            </w:r>
          </w:p>
          <w:p w14:paraId="722789F3">
            <w:pPr>
              <w:shd w:val="clear"/>
              <w:spacing w:line="360" w:lineRule="auto"/>
              <w:ind w:firstLine="420"/>
              <w:jc w:val="left"/>
              <w:rPr>
                <w:rFonts w:hint="eastAsia" w:ascii="宋体" w:hAnsi="宋体"/>
                <w:color w:val="auto"/>
                <w:szCs w:val="21"/>
                <w:highlight w:val="none"/>
              </w:rPr>
            </w:pPr>
            <w:r>
              <w:rPr>
                <w:rFonts w:hint="eastAsia" w:ascii="宋体" w:hAnsi="宋体"/>
                <w:b/>
                <w:bCs/>
                <w:color w:val="auto"/>
                <w:szCs w:val="21"/>
                <w:highlight w:val="none"/>
              </w:rPr>
              <w:t>注：投标函、开标一览表必须由法定代表人或者委托代理人在规定签章处逐一签字并加盖投标人</w:t>
            </w:r>
            <w:r>
              <w:rPr>
                <w:rFonts w:hint="eastAsia" w:ascii="宋体" w:hAnsi="宋体"/>
                <w:b/>
                <w:bCs/>
                <w:color w:val="auto"/>
                <w:szCs w:val="21"/>
                <w:highlight w:val="none"/>
                <w:lang w:val="en-US" w:eastAsia="zh-CN"/>
              </w:rPr>
              <w:t>实物</w:t>
            </w:r>
            <w:r>
              <w:rPr>
                <w:rFonts w:hint="eastAsia" w:ascii="宋体" w:hAnsi="宋体"/>
                <w:b/>
                <w:bCs/>
                <w:color w:val="auto"/>
                <w:szCs w:val="21"/>
                <w:highlight w:val="none"/>
              </w:rPr>
              <w:t>公章</w:t>
            </w:r>
            <w:r>
              <w:rPr>
                <w:rFonts w:hint="eastAsia"/>
                <w:b/>
                <w:bCs/>
                <w:color w:val="auto"/>
                <w:highlight w:val="none"/>
                <w:lang w:val="en-US" w:eastAsia="zh-CN"/>
              </w:rPr>
              <w:t>或电子公章</w:t>
            </w:r>
            <w:r>
              <w:rPr>
                <w:rFonts w:hint="eastAsia" w:ascii="宋体" w:hAnsi="宋体"/>
                <w:b/>
                <w:bCs/>
                <w:color w:val="auto"/>
                <w:szCs w:val="21"/>
                <w:highlight w:val="none"/>
              </w:rPr>
              <w:t>，否则按无效投标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14:paraId="1878E4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vMerge w:val="continue"/>
            <w:tcBorders>
              <w:left w:val="single" w:color="auto" w:sz="4" w:space="0"/>
              <w:right w:val="single" w:color="auto" w:sz="4" w:space="0"/>
            </w:tcBorders>
            <w:vAlign w:val="center"/>
          </w:tcPr>
          <w:p w14:paraId="4738BFE4">
            <w:pPr>
              <w:shd w:val="clear"/>
              <w:spacing w:line="360" w:lineRule="auto"/>
              <w:rPr>
                <w:rFonts w:hint="eastAsia" w:ascii="宋体" w:hAnsi="宋体"/>
                <w:color w:val="auto"/>
                <w:szCs w:val="21"/>
                <w:highlight w:val="none"/>
              </w:rPr>
            </w:pPr>
            <w:bookmarkStart w:id="59" w:name="_13.2"/>
            <w:bookmarkEnd w:id="59"/>
          </w:p>
        </w:tc>
        <w:tc>
          <w:tcPr>
            <w:tcW w:w="4483" w:type="pct"/>
            <w:tcBorders>
              <w:top w:val="single" w:color="auto" w:sz="4" w:space="0"/>
              <w:left w:val="single" w:color="auto" w:sz="4" w:space="0"/>
              <w:bottom w:val="single" w:color="auto" w:sz="4" w:space="0"/>
              <w:right w:val="single" w:color="auto" w:sz="4" w:space="0"/>
            </w:tcBorders>
            <w:vAlign w:val="center"/>
          </w:tcPr>
          <w:p w14:paraId="4043079D">
            <w:pPr>
              <w:shd w:val="clear"/>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资格证明文件</w:t>
            </w:r>
          </w:p>
          <w:p w14:paraId="405D12AF">
            <w:pPr>
              <w:numPr>
                <w:ilvl w:val="0"/>
                <w:numId w:val="5"/>
              </w:numPr>
              <w:shd w:val="clear"/>
              <w:spacing w:line="360" w:lineRule="auto"/>
              <w:jc w:val="left"/>
              <w:rPr>
                <w:rFonts w:hint="eastAsia" w:ascii="宋体" w:hAnsi="宋体"/>
                <w:color w:val="auto"/>
                <w:szCs w:val="21"/>
                <w:highlight w:val="none"/>
              </w:rPr>
            </w:pPr>
            <w:r>
              <w:rPr>
                <w:rFonts w:hint="eastAsia" w:ascii="宋体" w:hAnsi="宋体"/>
                <w:color w:val="auto"/>
                <w:szCs w:val="21"/>
                <w:highlight w:val="none"/>
              </w:rPr>
              <w:t>投标人为法人或者其他组织的，提供营业执照等证明文件</w:t>
            </w:r>
            <w:r>
              <w:rPr>
                <w:rFonts w:hint="eastAsia" w:ascii="宋体" w:hAnsi="宋体" w:cs="宋体"/>
                <w:color w:val="auto"/>
                <w:szCs w:val="21"/>
                <w:highlight w:val="none"/>
              </w:rPr>
              <w:t>（如营业执照或者事业单位法人证书或者</w:t>
            </w:r>
            <w:r>
              <w:rPr>
                <w:rStyle w:val="99"/>
                <w:color w:val="auto"/>
                <w:sz w:val="21"/>
                <w:szCs w:val="21"/>
                <w:highlight w:val="none"/>
              </w:rPr>
              <w:t>执业许可证</w:t>
            </w:r>
            <w:r>
              <w:rPr>
                <w:rFonts w:hint="eastAsia" w:ascii="宋体" w:hAnsi="宋体" w:cs="宋体"/>
                <w:color w:val="auto"/>
                <w:szCs w:val="21"/>
                <w:highlight w:val="none"/>
              </w:rPr>
              <w:t>等）</w:t>
            </w:r>
            <w:r>
              <w:rPr>
                <w:rFonts w:hint="eastAsia" w:ascii="宋体" w:hAnsi="宋体"/>
                <w:color w:val="auto"/>
                <w:szCs w:val="21"/>
                <w:highlight w:val="none"/>
              </w:rPr>
              <w:t>，投标人为自然人的，提供身份证</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6226378">
            <w:pPr>
              <w:numPr>
                <w:ilvl w:val="0"/>
                <w:numId w:val="5"/>
              </w:numPr>
              <w:shd w:val="clear"/>
              <w:spacing w:line="360" w:lineRule="auto"/>
              <w:jc w:val="left"/>
              <w:rPr>
                <w:rFonts w:hint="eastAsia" w:ascii="宋体" w:hAnsi="宋体"/>
                <w:color w:val="auto"/>
                <w:szCs w:val="21"/>
                <w:highlight w:val="none"/>
              </w:rPr>
            </w:pPr>
            <w:r>
              <w:rPr>
                <w:rFonts w:hint="eastAsia" w:ascii="宋体" w:hAnsi="宋体" w:cs="宋体"/>
                <w:color w:val="auto"/>
                <w:szCs w:val="21"/>
                <w:highlight w:val="none"/>
              </w:rPr>
              <w:t>投标人依法缴纳税收的相关材料（</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月以来任意连续</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rPr>
              <w:t>个月的依法缴纳税收的凭据复印件；</w:t>
            </w:r>
            <w:r>
              <w:rPr>
                <w:rFonts w:hint="eastAsia" w:ascii="宋体" w:hAnsi="宋体"/>
                <w:color w:val="auto"/>
                <w:szCs w:val="21"/>
                <w:highlight w:val="none"/>
              </w:rPr>
              <w:t>依法免税的供应商，必须提供相应文件证明其依法免税。</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5C6E59F">
            <w:pPr>
              <w:numPr>
                <w:ilvl w:val="0"/>
                <w:numId w:val="5"/>
              </w:numPr>
              <w:shd w:val="clear"/>
              <w:spacing w:line="360" w:lineRule="auto"/>
              <w:jc w:val="left"/>
              <w:rPr>
                <w:rFonts w:hint="eastAsia" w:ascii="宋体" w:hAnsi="宋体"/>
                <w:color w:val="auto"/>
                <w:szCs w:val="21"/>
                <w:highlight w:val="none"/>
              </w:rPr>
            </w:pPr>
            <w:r>
              <w:rPr>
                <w:rFonts w:hint="eastAsia" w:ascii="宋体" w:hAnsi="宋体" w:cs="宋体"/>
                <w:color w:val="auto"/>
                <w:szCs w:val="21"/>
                <w:highlight w:val="none"/>
              </w:rPr>
              <w:t>投标人依法缴纳社会保障资金的相关材料[</w:t>
            </w:r>
            <w:r>
              <w:rPr>
                <w:rFonts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月以来任意连续</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rPr>
              <w:t>个月的依法缴纳社会保障资金的缴费凭证（专用收据或者社会保险缴纳清单）复印件；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从取得营业执照时间起到投标文件提交截止时间为止不足要求月数的只需提供从取得营业执照起的依法缴纳社会保障资金的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466814E">
            <w:pPr>
              <w:numPr>
                <w:ilvl w:val="0"/>
                <w:numId w:val="5"/>
              </w:numPr>
              <w:shd w:val="clear"/>
              <w:spacing w:line="360" w:lineRule="auto"/>
              <w:jc w:val="left"/>
              <w:rPr>
                <w:rFonts w:hint="eastAsia" w:ascii="宋体" w:hAnsi="宋体"/>
                <w:color w:val="auto"/>
                <w:szCs w:val="21"/>
                <w:highlight w:val="none"/>
              </w:rPr>
            </w:pPr>
            <w:r>
              <w:rPr>
                <w:rFonts w:hint="eastAsia" w:ascii="宋体" w:hAnsi="宋体" w:cs="宋体"/>
                <w:color w:val="auto"/>
                <w:szCs w:val="21"/>
                <w:highlight w:val="none"/>
              </w:rPr>
              <w:t>投标人</w:t>
            </w:r>
            <w:r>
              <w:rPr>
                <w:rFonts w:hint="eastAsia"/>
                <w:color w:val="auto"/>
                <w:szCs w:val="21"/>
                <w:highlight w:val="none"/>
              </w:rPr>
              <w:t>财务状况报告（</w:t>
            </w:r>
            <w:r>
              <w:rPr>
                <w:rFonts w:hint="eastAsia"/>
                <w:color w:val="auto"/>
                <w:szCs w:val="21"/>
                <w:highlight w:val="none"/>
                <w:u w:val="single"/>
              </w:rPr>
              <w:t>2025</w:t>
            </w:r>
            <w:r>
              <w:rPr>
                <w:rFonts w:hint="eastAsia"/>
                <w:color w:val="auto"/>
                <w:szCs w:val="21"/>
                <w:highlight w:val="none"/>
              </w:rPr>
              <w:t>年度财务报表复印件或者银行出具的资信证明；投标人属于成立时间</w:t>
            </w:r>
            <w:r>
              <w:rPr>
                <w:rFonts w:hint="eastAsia"/>
                <w:color w:val="auto"/>
                <w:kern w:val="0"/>
                <w:szCs w:val="21"/>
                <w:highlight w:val="none"/>
              </w:rPr>
              <w:t>在规定年度之后</w:t>
            </w:r>
            <w:r>
              <w:rPr>
                <w:rFonts w:hint="eastAsia"/>
                <w:color w:val="auto"/>
                <w:szCs w:val="21"/>
                <w:highlight w:val="none"/>
              </w:rPr>
              <w:t>的法人或其他组织，需提供成立之日起至投标截止时间前的月报表或银行出具的资信证明；资信证明应在有效期内，未注明有效期的，银行出具时间至投标截止时间不超过一年）；</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8A9BB02">
            <w:pPr>
              <w:numPr>
                <w:ilvl w:val="0"/>
                <w:numId w:val="5"/>
              </w:numPr>
              <w:shd w:val="clear"/>
              <w:spacing w:line="360" w:lineRule="auto"/>
              <w:jc w:val="left"/>
              <w:rPr>
                <w:rFonts w:hint="eastAsia" w:ascii="宋体" w:hAnsi="宋体"/>
                <w:color w:val="auto"/>
                <w:szCs w:val="21"/>
                <w:highlight w:val="none"/>
              </w:rPr>
            </w:pPr>
            <w:r>
              <w:rPr>
                <w:rFonts w:hint="eastAsia" w:ascii="宋体" w:hAnsi="宋体"/>
                <w:color w:val="auto"/>
                <w:szCs w:val="21"/>
                <w:highlight w:val="none"/>
              </w:rPr>
              <w:t>投标人直接控股、管理关系信息表（格式后附）；（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39345DA4">
            <w:pPr>
              <w:numPr>
                <w:ilvl w:val="0"/>
                <w:numId w:val="5"/>
              </w:numPr>
              <w:shd w:val="clear"/>
              <w:spacing w:line="360" w:lineRule="auto"/>
              <w:jc w:val="left"/>
              <w:rPr>
                <w:rFonts w:hint="eastAsia" w:ascii="宋体" w:hAnsi="宋体"/>
                <w:color w:val="auto"/>
                <w:szCs w:val="21"/>
                <w:highlight w:val="none"/>
              </w:rPr>
            </w:pPr>
            <w:r>
              <w:rPr>
                <w:rFonts w:hint="eastAsia" w:ascii="宋体" w:hAnsi="宋体"/>
                <w:color w:val="auto"/>
                <w:szCs w:val="21"/>
                <w:highlight w:val="none"/>
              </w:rPr>
              <w:t>投标声明（格式后附）；（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E34F242">
            <w:pPr>
              <w:numPr>
                <w:ilvl w:val="0"/>
                <w:numId w:val="5"/>
              </w:numPr>
              <w:shd w:val="clear"/>
              <w:spacing w:line="360" w:lineRule="auto"/>
              <w:jc w:val="left"/>
              <w:rPr>
                <w:rFonts w:hint="eastAsia" w:ascii="宋体" w:hAnsi="宋体"/>
                <w:color w:val="auto"/>
                <w:szCs w:val="21"/>
                <w:highlight w:val="none"/>
              </w:rPr>
            </w:pPr>
            <w:r>
              <w:rPr>
                <w:rFonts w:hint="eastAsia" w:ascii="宋体" w:hAnsi="宋体"/>
                <w:color w:val="auto"/>
                <w:szCs w:val="21"/>
                <w:highlight w:val="none"/>
              </w:rPr>
              <w:t>中小企业声明函（格式后附）或者残疾人福利性单位声明函（格式后附）或者供应商属于监狱企业的，提供由省级以上监狱管理局、戒毒管理局（含新疆生产建设兵团）出具的属于监狱企业的证明文件；</w:t>
            </w:r>
            <w:r>
              <w:rPr>
                <w:rFonts w:hint="eastAsia" w:ascii="宋体" w:hAnsi="宋体"/>
                <w:b w:val="0"/>
                <w:bCs w:val="0"/>
                <w:color w:val="auto"/>
                <w:szCs w:val="21"/>
                <w:highlight w:val="none"/>
              </w:rPr>
              <w:t>（如有请提供）</w:t>
            </w:r>
          </w:p>
          <w:p w14:paraId="56C9DB2E">
            <w:pPr>
              <w:numPr>
                <w:ilvl w:val="0"/>
                <w:numId w:val="5"/>
              </w:numPr>
              <w:shd w:val="clear"/>
              <w:spacing w:line="360" w:lineRule="auto"/>
              <w:jc w:val="left"/>
              <w:rPr>
                <w:rFonts w:hint="eastAsia" w:ascii="宋体" w:hAnsi="宋体"/>
                <w:color w:val="auto"/>
                <w:szCs w:val="21"/>
                <w:highlight w:val="none"/>
              </w:rPr>
            </w:pPr>
            <w:r>
              <w:rPr>
                <w:rFonts w:hint="eastAsia" w:ascii="宋体" w:hAnsi="宋体"/>
                <w:color w:val="auto"/>
                <w:szCs w:val="21"/>
                <w:highlight w:val="none"/>
              </w:rPr>
              <w:t>本项目的特定资格要求：</w:t>
            </w:r>
            <w:r>
              <w:rPr>
                <w:rFonts w:hint="eastAsia" w:ascii="宋体" w:hAnsi="宋体"/>
                <w:color w:val="auto"/>
                <w:szCs w:val="21"/>
                <w:highlight w:val="none"/>
                <w:lang w:val="en-US" w:eastAsia="zh-CN"/>
              </w:rPr>
              <w:t>无</w:t>
            </w:r>
            <w:r>
              <w:rPr>
                <w:rFonts w:hint="eastAsia" w:ascii="宋体" w:hAnsi="宋体"/>
                <w:color w:val="auto"/>
                <w:szCs w:val="21"/>
                <w:highlight w:val="none"/>
              </w:rPr>
              <w:t>；</w:t>
            </w: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如有，</w:t>
            </w:r>
            <w:r>
              <w:rPr>
                <w:rFonts w:hint="eastAsia" w:ascii="宋体" w:hAnsi="宋体"/>
                <w:b w:val="0"/>
                <w:bCs w:val="0"/>
                <w:color w:val="auto"/>
                <w:szCs w:val="21"/>
                <w:highlight w:val="none"/>
              </w:rPr>
              <w:t>必须提供，否则按无效投标处理）</w:t>
            </w:r>
          </w:p>
          <w:p w14:paraId="1E379EE9">
            <w:pPr>
              <w:numPr>
                <w:ilvl w:val="0"/>
                <w:numId w:val="5"/>
              </w:numPr>
              <w:shd w:val="clear"/>
              <w:spacing w:line="360" w:lineRule="auto"/>
              <w:jc w:val="left"/>
              <w:rPr>
                <w:rFonts w:hint="eastAsia" w:ascii="宋体" w:hAnsi="宋体"/>
                <w:color w:val="auto"/>
                <w:szCs w:val="21"/>
                <w:highlight w:val="none"/>
              </w:rPr>
            </w:pPr>
            <w:r>
              <w:rPr>
                <w:rFonts w:hint="eastAsia" w:ascii="宋体" w:hAnsi="宋体"/>
                <w:color w:val="auto"/>
                <w:szCs w:val="21"/>
                <w:highlight w:val="none"/>
              </w:rPr>
              <w:t>除招标文件规定必须提供以外，投标人认为需要提供的其他证明材料。</w:t>
            </w:r>
          </w:p>
          <w:p w14:paraId="40C2C11A">
            <w:pPr>
              <w:shd w:val="clear"/>
              <w:spacing w:line="360" w:lineRule="auto"/>
              <w:ind w:firstLine="422" w:firstLineChars="200"/>
              <w:jc w:val="left"/>
              <w:rPr>
                <w:rFonts w:hint="eastAsia" w:ascii="宋体" w:hAnsi="宋体" w:cs="Courier New"/>
                <w:b/>
                <w:color w:val="auto"/>
                <w:szCs w:val="21"/>
                <w:highlight w:val="none"/>
              </w:rPr>
            </w:pPr>
            <w:r>
              <w:rPr>
                <w:rFonts w:hint="eastAsia" w:ascii="宋体" w:hAnsi="宋体"/>
                <w:b/>
                <w:bCs/>
                <w:color w:val="auto"/>
                <w:szCs w:val="21"/>
                <w:highlight w:val="none"/>
              </w:rPr>
              <w:t>注：1.</w:t>
            </w:r>
            <w:r>
              <w:rPr>
                <w:rFonts w:hint="eastAsia" w:ascii="宋体" w:hAnsi="宋体"/>
                <w:color w:val="auto"/>
                <w:szCs w:val="21"/>
                <w:highlight w:val="none"/>
              </w:rPr>
              <w:t xml:space="preserve"> </w:t>
            </w:r>
            <w:r>
              <w:rPr>
                <w:rFonts w:hint="eastAsia" w:ascii="宋体" w:hAnsi="宋体"/>
                <w:b/>
                <w:bCs/>
                <w:color w:val="auto"/>
                <w:szCs w:val="21"/>
                <w:highlight w:val="none"/>
              </w:rPr>
              <w:t>以上标明“必须提供”的材料属于复印件的，必须加盖投标人</w:t>
            </w:r>
            <w:r>
              <w:rPr>
                <w:rFonts w:hint="eastAsia" w:ascii="宋体" w:hAnsi="宋体"/>
                <w:b/>
                <w:bCs/>
                <w:color w:val="auto"/>
                <w:szCs w:val="21"/>
                <w:highlight w:val="none"/>
                <w:lang w:val="en-US" w:eastAsia="zh-CN"/>
              </w:rPr>
              <w:t>实物</w:t>
            </w:r>
            <w:r>
              <w:rPr>
                <w:rFonts w:hint="eastAsia" w:ascii="宋体" w:hAnsi="宋体"/>
                <w:b/>
                <w:bCs/>
                <w:color w:val="auto"/>
                <w:szCs w:val="21"/>
                <w:highlight w:val="none"/>
              </w:rPr>
              <w:t>公章</w:t>
            </w:r>
            <w:r>
              <w:rPr>
                <w:rFonts w:hint="eastAsia" w:ascii="宋体" w:hAnsi="宋体"/>
                <w:b/>
                <w:bCs/>
                <w:color w:val="auto"/>
                <w:szCs w:val="21"/>
                <w:highlight w:val="none"/>
                <w:lang w:val="en-US" w:eastAsia="zh-CN"/>
              </w:rPr>
              <w:t>或电子公章</w:t>
            </w:r>
            <w:r>
              <w:rPr>
                <w:rFonts w:hint="eastAsia" w:ascii="宋体" w:hAnsi="宋体"/>
                <w:b/>
                <w:bCs/>
                <w:color w:val="auto"/>
                <w:szCs w:val="21"/>
                <w:highlight w:val="none"/>
              </w:rPr>
              <w:t>，否则按无效投标</w:t>
            </w:r>
            <w:r>
              <w:rPr>
                <w:rFonts w:hint="eastAsia" w:ascii="宋体" w:hAnsi="宋体" w:cs="Courier New"/>
                <w:b/>
                <w:color w:val="auto"/>
                <w:szCs w:val="21"/>
                <w:highlight w:val="none"/>
              </w:rPr>
              <w:t>处理。</w:t>
            </w:r>
          </w:p>
          <w:p w14:paraId="4393153D">
            <w:pPr>
              <w:shd w:val="clear"/>
              <w:spacing w:line="360" w:lineRule="auto"/>
              <w:ind w:firstLine="422" w:firstLineChars="200"/>
              <w:jc w:val="left"/>
              <w:rPr>
                <w:rFonts w:hint="eastAsia" w:ascii="宋体" w:hAnsi="宋体"/>
                <w:b/>
                <w:bCs/>
                <w:color w:val="auto"/>
                <w:szCs w:val="21"/>
                <w:highlight w:val="none"/>
              </w:rPr>
            </w:pPr>
            <w:r>
              <w:rPr>
                <w:rFonts w:hint="eastAsia" w:ascii="宋体" w:hAnsi="宋体" w:cs="Courier New"/>
                <w:b/>
                <w:color w:val="auto"/>
                <w:szCs w:val="21"/>
                <w:highlight w:val="none"/>
              </w:rPr>
              <w:t>2.</w:t>
            </w:r>
            <w:r>
              <w:rPr>
                <w:rFonts w:hint="eastAsia" w:ascii="宋体" w:hAnsi="宋体"/>
                <w:b/>
                <w:bCs/>
                <w:color w:val="auto"/>
                <w:szCs w:val="21"/>
                <w:highlight w:val="none"/>
              </w:rPr>
              <w:t>投标声明必须由法定代表人在规定签章处签字并加盖投标人</w:t>
            </w:r>
            <w:r>
              <w:rPr>
                <w:rFonts w:hint="eastAsia" w:ascii="宋体" w:hAnsi="宋体"/>
                <w:b/>
                <w:bCs/>
                <w:color w:val="auto"/>
                <w:szCs w:val="21"/>
                <w:highlight w:val="none"/>
                <w:lang w:val="en-US" w:eastAsia="zh-CN"/>
              </w:rPr>
              <w:t>实物</w:t>
            </w:r>
            <w:r>
              <w:rPr>
                <w:rFonts w:hint="eastAsia" w:ascii="宋体" w:hAnsi="宋体"/>
                <w:b/>
                <w:bCs/>
                <w:color w:val="auto"/>
                <w:szCs w:val="21"/>
                <w:highlight w:val="none"/>
              </w:rPr>
              <w:t>公章</w:t>
            </w:r>
            <w:r>
              <w:rPr>
                <w:rFonts w:hint="eastAsia" w:ascii="宋体" w:hAnsi="宋体"/>
                <w:b/>
                <w:bCs/>
                <w:color w:val="auto"/>
                <w:szCs w:val="21"/>
                <w:highlight w:val="none"/>
                <w:lang w:val="en-US" w:eastAsia="zh-CN"/>
              </w:rPr>
              <w:t>或电子公章</w:t>
            </w:r>
            <w:r>
              <w:rPr>
                <w:rFonts w:hint="eastAsia" w:ascii="宋体" w:hAnsi="宋体"/>
                <w:b/>
                <w:bCs/>
                <w:color w:val="auto"/>
                <w:szCs w:val="21"/>
                <w:highlight w:val="none"/>
              </w:rPr>
              <w:t>，否则按无效投标处理。</w:t>
            </w:r>
          </w:p>
          <w:p w14:paraId="302ADFFB">
            <w:pPr>
              <w:shd w:val="clear"/>
              <w:spacing w:line="360" w:lineRule="auto"/>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3.投标人直接控股、管理关系信息表必须由法定代表人或者委托代理人在规定签章处签字并加盖投标人</w:t>
            </w:r>
            <w:r>
              <w:rPr>
                <w:rFonts w:hint="eastAsia" w:ascii="宋体" w:hAnsi="宋体"/>
                <w:b/>
                <w:bCs/>
                <w:color w:val="auto"/>
                <w:szCs w:val="21"/>
                <w:highlight w:val="none"/>
                <w:lang w:val="en-US" w:eastAsia="zh-CN"/>
              </w:rPr>
              <w:t>实物</w:t>
            </w:r>
            <w:r>
              <w:rPr>
                <w:rFonts w:hint="eastAsia" w:ascii="宋体" w:hAnsi="宋体"/>
                <w:b/>
                <w:bCs/>
                <w:color w:val="auto"/>
                <w:szCs w:val="21"/>
                <w:highlight w:val="none"/>
              </w:rPr>
              <w:t>公章</w:t>
            </w:r>
            <w:r>
              <w:rPr>
                <w:rFonts w:hint="eastAsia" w:ascii="宋体" w:hAnsi="宋体"/>
                <w:b/>
                <w:bCs/>
                <w:color w:val="auto"/>
                <w:szCs w:val="21"/>
                <w:highlight w:val="none"/>
                <w:lang w:val="en-US" w:eastAsia="zh-CN"/>
              </w:rPr>
              <w:t>或电子公章</w:t>
            </w:r>
            <w:r>
              <w:rPr>
                <w:rFonts w:hint="eastAsia" w:ascii="宋体" w:hAnsi="宋体"/>
                <w:b/>
                <w:bCs/>
                <w:color w:val="auto"/>
                <w:szCs w:val="21"/>
                <w:highlight w:val="none"/>
              </w:rPr>
              <w:t>，否则按无效投标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14:paraId="4FC891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vMerge w:val="continue"/>
            <w:tcBorders>
              <w:left w:val="single" w:color="auto" w:sz="4" w:space="0"/>
              <w:right w:val="single" w:color="auto" w:sz="4" w:space="0"/>
            </w:tcBorders>
            <w:vAlign w:val="center"/>
          </w:tcPr>
          <w:p w14:paraId="448EEFF3">
            <w:pPr>
              <w:shd w:val="clear"/>
              <w:spacing w:line="360" w:lineRule="auto"/>
              <w:rPr>
                <w:rFonts w:hint="eastAsia" w:ascii="宋体" w:hAnsi="宋体"/>
                <w:color w:val="auto"/>
                <w:szCs w:val="21"/>
                <w:highlight w:val="none"/>
              </w:rPr>
            </w:pPr>
            <w:bookmarkStart w:id="60" w:name="_13.3"/>
            <w:bookmarkEnd w:id="60"/>
          </w:p>
        </w:tc>
        <w:tc>
          <w:tcPr>
            <w:tcW w:w="4483" w:type="pct"/>
            <w:tcBorders>
              <w:top w:val="single" w:color="auto" w:sz="4" w:space="0"/>
              <w:left w:val="single" w:color="auto" w:sz="4" w:space="0"/>
              <w:bottom w:val="single" w:color="auto" w:sz="4" w:space="0"/>
              <w:right w:val="single" w:color="auto" w:sz="4" w:space="0"/>
            </w:tcBorders>
            <w:vAlign w:val="center"/>
          </w:tcPr>
          <w:p w14:paraId="6CCBD6ED">
            <w:pPr>
              <w:shd w:val="clear"/>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商务文件：</w:t>
            </w:r>
          </w:p>
          <w:p w14:paraId="5DACED4B">
            <w:pPr>
              <w:shd w:val="clear"/>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1.无串通投标行为的承诺函（格式后附）；（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2C7FCD0">
            <w:pPr>
              <w:shd w:val="clear"/>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2.投标保证金提交凭证；（</w:t>
            </w:r>
            <w:r>
              <w:rPr>
                <w:rFonts w:hint="eastAsia"/>
                <w:b/>
                <w:bCs/>
                <w:color w:val="auto"/>
                <w:szCs w:val="21"/>
                <w:highlight w:val="none"/>
              </w:rPr>
              <w:t>必须提供</w:t>
            </w:r>
            <w:r>
              <w:rPr>
                <w:rFonts w:hint="eastAsia" w:ascii="宋体" w:hAnsi="宋体"/>
                <w:b/>
                <w:color w:val="auto"/>
                <w:szCs w:val="21"/>
                <w:highlight w:val="none"/>
              </w:rPr>
              <w:t>，否则按无效投标处理</w:t>
            </w:r>
            <w:r>
              <w:rPr>
                <w:rFonts w:hint="eastAsia" w:ascii="宋体" w:hAnsi="宋体"/>
                <w:color w:val="auto"/>
                <w:szCs w:val="21"/>
                <w:highlight w:val="none"/>
              </w:rPr>
              <w:t>）</w:t>
            </w:r>
          </w:p>
          <w:p w14:paraId="12F19E1D">
            <w:pPr>
              <w:shd w:val="clear"/>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3.法定代表人身份证明及法定代表人有效身份证正反面复印件（格式后附）；（</w:t>
            </w:r>
            <w:r>
              <w:rPr>
                <w:rFonts w:hint="eastAsia" w:ascii="宋体" w:hAnsi="宋体" w:cs="宋体"/>
                <w:b/>
                <w:bCs/>
                <w:color w:val="auto"/>
                <w:szCs w:val="21"/>
                <w:highlight w:val="none"/>
              </w:rPr>
              <w:t>除自然人投标外</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6E1EB6A6">
            <w:pPr>
              <w:shd w:val="clear"/>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4.授权委托书及委托代理人有效身份证正反面复印件（格式后附）；（</w:t>
            </w:r>
            <w:r>
              <w:rPr>
                <w:rFonts w:hint="eastAsia" w:ascii="宋体" w:hAnsi="宋体"/>
                <w:b/>
                <w:color w:val="auto"/>
                <w:szCs w:val="21"/>
                <w:highlight w:val="none"/>
              </w:rPr>
              <w:t>委托时必须提供，否则按无效投标处理</w:t>
            </w:r>
            <w:r>
              <w:rPr>
                <w:rFonts w:hint="eastAsia" w:ascii="宋体" w:hAnsi="宋体"/>
                <w:color w:val="auto"/>
                <w:szCs w:val="21"/>
                <w:highlight w:val="none"/>
              </w:rPr>
              <w:t>）</w:t>
            </w:r>
          </w:p>
          <w:p w14:paraId="4309C89A">
            <w:pPr>
              <w:shd w:val="clear"/>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商务条款偏离表（格式后附）；（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8A6AE07">
            <w:pPr>
              <w:pStyle w:val="17"/>
              <w:shd w:val="clear"/>
              <w:spacing w:line="360" w:lineRule="auto"/>
              <w:ind w:firstLine="420" w:firstLineChars="200"/>
              <w:rPr>
                <w:color w:val="auto"/>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投标人情况介绍（格式自拟）；</w:t>
            </w:r>
            <w:r>
              <w:rPr>
                <w:color w:val="auto"/>
                <w:highlight w:val="none"/>
              </w:rPr>
              <w:t>（如有请提供）</w:t>
            </w:r>
          </w:p>
          <w:p w14:paraId="63989C27">
            <w:pPr>
              <w:shd w:val="clear"/>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7.除招标文件规定必须提供以外，投标人认为需要提供的其他证明材料（格式自拟）。（投标人根据“第二章 采购需求”及“第四章 评标方法及评标标准”提供有关证明材料）。</w:t>
            </w:r>
          </w:p>
          <w:p w14:paraId="3C680C9D">
            <w:pPr>
              <w:shd w:val="clear"/>
              <w:spacing w:line="360" w:lineRule="auto"/>
              <w:jc w:val="left"/>
              <w:rPr>
                <w:rFonts w:hint="eastAsia" w:ascii="宋体" w:hAnsi="宋体"/>
                <w:b/>
                <w:bCs/>
                <w:color w:val="auto"/>
                <w:szCs w:val="21"/>
                <w:highlight w:val="none"/>
              </w:rPr>
            </w:pPr>
            <w:r>
              <w:rPr>
                <w:rFonts w:hint="eastAsia" w:ascii="宋体" w:hAnsi="宋体"/>
                <w:b/>
                <w:bCs/>
                <w:color w:val="auto"/>
                <w:szCs w:val="21"/>
                <w:highlight w:val="none"/>
              </w:rPr>
              <w:t>注： 1.授权委托书必须由法定代表人及委托代理人签字，并加盖投标人</w:t>
            </w:r>
            <w:r>
              <w:rPr>
                <w:rFonts w:hint="eastAsia" w:ascii="宋体" w:hAnsi="宋体"/>
                <w:b/>
                <w:bCs/>
                <w:color w:val="auto"/>
                <w:szCs w:val="21"/>
                <w:highlight w:val="none"/>
                <w:lang w:val="en-US" w:eastAsia="zh-CN"/>
              </w:rPr>
              <w:t>实物</w:t>
            </w:r>
            <w:r>
              <w:rPr>
                <w:rFonts w:hint="eastAsia" w:ascii="宋体" w:hAnsi="宋体"/>
                <w:b/>
                <w:bCs/>
                <w:color w:val="auto"/>
                <w:szCs w:val="21"/>
                <w:highlight w:val="none"/>
              </w:rPr>
              <w:t>公章</w:t>
            </w:r>
            <w:r>
              <w:rPr>
                <w:rFonts w:hint="eastAsia" w:ascii="宋体" w:hAnsi="宋体"/>
                <w:b/>
                <w:bCs/>
                <w:color w:val="auto"/>
                <w:szCs w:val="21"/>
                <w:highlight w:val="none"/>
                <w:lang w:val="en-US" w:eastAsia="zh-CN"/>
              </w:rPr>
              <w:t>或电子公章</w:t>
            </w:r>
            <w:r>
              <w:rPr>
                <w:rFonts w:hint="eastAsia" w:ascii="宋体" w:hAnsi="宋体"/>
                <w:b/>
                <w:bCs/>
                <w:color w:val="auto"/>
                <w:szCs w:val="21"/>
                <w:highlight w:val="none"/>
              </w:rPr>
              <w:t>，否则按无效投标处理。</w:t>
            </w:r>
          </w:p>
          <w:p w14:paraId="67B892DE">
            <w:pPr>
              <w:shd w:val="clear"/>
              <w:spacing w:line="360" w:lineRule="auto"/>
              <w:ind w:firstLine="422" w:firstLineChars="200"/>
              <w:jc w:val="left"/>
              <w:rPr>
                <w:rFonts w:hint="eastAsia" w:ascii="宋体" w:hAnsi="宋体" w:cs="Courier New"/>
                <w:b/>
                <w:color w:val="auto"/>
                <w:szCs w:val="21"/>
                <w:highlight w:val="none"/>
              </w:rPr>
            </w:pPr>
            <w:r>
              <w:rPr>
                <w:rFonts w:hint="eastAsia" w:ascii="宋体" w:hAnsi="宋体"/>
                <w:b/>
                <w:bCs/>
                <w:color w:val="auto"/>
                <w:szCs w:val="21"/>
                <w:highlight w:val="none"/>
              </w:rPr>
              <w:t>2.</w:t>
            </w:r>
            <w:r>
              <w:rPr>
                <w:rFonts w:hint="eastAsia" w:ascii="宋体" w:hAnsi="宋体"/>
                <w:color w:val="auto"/>
                <w:szCs w:val="21"/>
                <w:highlight w:val="none"/>
              </w:rPr>
              <w:t xml:space="preserve"> </w:t>
            </w:r>
            <w:r>
              <w:rPr>
                <w:rFonts w:hint="eastAsia" w:ascii="宋体" w:hAnsi="宋体"/>
                <w:b/>
                <w:bCs/>
                <w:color w:val="auto"/>
                <w:szCs w:val="21"/>
                <w:highlight w:val="none"/>
              </w:rPr>
              <w:t>以上标明“必须提供”的材料属于复印件的，必须加盖投标人</w:t>
            </w:r>
            <w:r>
              <w:rPr>
                <w:rFonts w:hint="eastAsia" w:ascii="宋体" w:hAnsi="宋体"/>
                <w:b/>
                <w:bCs/>
                <w:color w:val="auto"/>
                <w:szCs w:val="21"/>
                <w:highlight w:val="none"/>
                <w:lang w:val="en-US" w:eastAsia="zh-CN"/>
              </w:rPr>
              <w:t>实物</w:t>
            </w:r>
            <w:r>
              <w:rPr>
                <w:rFonts w:hint="eastAsia" w:ascii="宋体" w:hAnsi="宋体"/>
                <w:b/>
                <w:bCs/>
                <w:color w:val="auto"/>
                <w:szCs w:val="21"/>
                <w:highlight w:val="none"/>
              </w:rPr>
              <w:t>公章</w:t>
            </w:r>
            <w:r>
              <w:rPr>
                <w:rFonts w:hint="eastAsia" w:ascii="宋体" w:hAnsi="宋体"/>
                <w:b/>
                <w:bCs/>
                <w:color w:val="auto"/>
                <w:szCs w:val="21"/>
                <w:highlight w:val="none"/>
                <w:lang w:val="en-US" w:eastAsia="zh-CN"/>
              </w:rPr>
              <w:t>或电子公章</w:t>
            </w:r>
            <w:r>
              <w:rPr>
                <w:rFonts w:hint="eastAsia" w:ascii="宋体" w:hAnsi="宋体"/>
                <w:b/>
                <w:bCs/>
                <w:color w:val="auto"/>
                <w:szCs w:val="21"/>
                <w:highlight w:val="none"/>
              </w:rPr>
              <w:t>，否则按无效投标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14:paraId="1A3FB0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vMerge w:val="continue"/>
            <w:tcBorders>
              <w:left w:val="single" w:color="auto" w:sz="4" w:space="0"/>
              <w:bottom w:val="single" w:color="auto" w:sz="4" w:space="0"/>
              <w:right w:val="single" w:color="auto" w:sz="4" w:space="0"/>
            </w:tcBorders>
            <w:vAlign w:val="center"/>
          </w:tcPr>
          <w:p w14:paraId="2A870BAF">
            <w:pPr>
              <w:shd w:val="clear"/>
              <w:spacing w:line="360" w:lineRule="auto"/>
              <w:rPr>
                <w:rFonts w:hint="eastAsia" w:ascii="宋体" w:hAnsi="宋体"/>
                <w:color w:val="auto"/>
                <w:szCs w:val="21"/>
                <w:highlight w:val="none"/>
              </w:rPr>
            </w:pPr>
            <w:bookmarkStart w:id="61" w:name="_13.4"/>
            <w:bookmarkEnd w:id="61"/>
          </w:p>
        </w:tc>
        <w:tc>
          <w:tcPr>
            <w:tcW w:w="4483" w:type="pct"/>
            <w:tcBorders>
              <w:top w:val="single" w:color="auto" w:sz="4" w:space="0"/>
              <w:left w:val="single" w:color="auto" w:sz="4" w:space="0"/>
              <w:bottom w:val="single" w:color="auto" w:sz="4" w:space="0"/>
              <w:right w:val="single" w:color="auto" w:sz="4" w:space="0"/>
            </w:tcBorders>
            <w:vAlign w:val="center"/>
          </w:tcPr>
          <w:p w14:paraId="1242BC59">
            <w:pPr>
              <w:shd w:val="clear"/>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技术文件：</w:t>
            </w:r>
          </w:p>
          <w:p w14:paraId="0973990E">
            <w:pPr>
              <w:shd w:val="clear"/>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1.技术要求偏离表（格式后附）；</w:t>
            </w:r>
            <w:r>
              <w:rPr>
                <w:rFonts w:hint="eastAsia" w:ascii="宋体" w:hAnsi="宋体"/>
                <w:b/>
                <w:bCs/>
                <w:color w:val="auto"/>
                <w:szCs w:val="21"/>
                <w:highlight w:val="none"/>
              </w:rPr>
              <w:t>（必须提供，否则按无效投标处理）</w:t>
            </w:r>
          </w:p>
          <w:p w14:paraId="0EC4B673">
            <w:pPr>
              <w:shd w:val="clear"/>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服务方案、管理方案等</w:t>
            </w:r>
            <w:r>
              <w:rPr>
                <w:rFonts w:hint="eastAsia" w:ascii="宋体" w:hAnsi="宋体"/>
                <w:color w:val="auto"/>
                <w:szCs w:val="21"/>
                <w:highlight w:val="none"/>
                <w:lang w:eastAsia="zh-CN"/>
              </w:rPr>
              <w:t>方案</w:t>
            </w:r>
            <w:r>
              <w:rPr>
                <w:rFonts w:hint="eastAsia" w:ascii="宋体" w:hAnsi="宋体"/>
                <w:color w:val="auto"/>
                <w:szCs w:val="21"/>
                <w:highlight w:val="none"/>
              </w:rPr>
              <w:t>（格式自拟）；（如有请提供）</w:t>
            </w:r>
          </w:p>
          <w:p w14:paraId="58864227">
            <w:pPr>
              <w:shd w:val="clear"/>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3.项目实施人员一览表；（格式后附）；</w:t>
            </w:r>
            <w:r>
              <w:rPr>
                <w:rFonts w:hint="eastAsia" w:ascii="宋体" w:hAnsi="宋体"/>
                <w:b/>
                <w:bCs/>
                <w:color w:val="auto"/>
                <w:szCs w:val="21"/>
                <w:highlight w:val="none"/>
              </w:rPr>
              <w:t>（必须提供，否则按无效投标处理）</w:t>
            </w:r>
          </w:p>
          <w:p w14:paraId="2C34293B">
            <w:pPr>
              <w:shd w:val="clear"/>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4.投标人对本项目的合理化建议和改进措施（格式自拟）；</w:t>
            </w:r>
          </w:p>
          <w:p w14:paraId="6427764F">
            <w:pPr>
              <w:shd w:val="clear"/>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5.除招标文件规定必须提供以外，投标人需要说明的其他文件和说明（格式自拟）。</w:t>
            </w:r>
          </w:p>
          <w:p w14:paraId="7A730184">
            <w:pPr>
              <w:shd w:val="clear"/>
              <w:spacing w:line="360" w:lineRule="auto"/>
              <w:ind w:left="413"/>
              <w:jc w:val="left"/>
              <w:rPr>
                <w:rFonts w:hint="eastAsia" w:ascii="宋体" w:hAnsi="宋体"/>
                <w:b/>
                <w:bCs/>
                <w:color w:val="auto"/>
                <w:szCs w:val="21"/>
                <w:highlight w:val="none"/>
              </w:rPr>
            </w:pPr>
            <w:r>
              <w:rPr>
                <w:rFonts w:hint="eastAsia" w:ascii="宋体" w:hAnsi="宋体"/>
                <w:b/>
                <w:bCs/>
                <w:color w:val="auto"/>
                <w:szCs w:val="21"/>
                <w:highlight w:val="none"/>
              </w:rPr>
              <w:t>注：以上标明“必须提供”的材料属于复印件的，必须加盖投标人</w:t>
            </w:r>
            <w:r>
              <w:rPr>
                <w:rFonts w:hint="eastAsia" w:ascii="宋体" w:hAnsi="宋体"/>
                <w:b/>
                <w:bCs/>
                <w:color w:val="auto"/>
                <w:szCs w:val="21"/>
                <w:highlight w:val="none"/>
                <w:lang w:val="en-US" w:eastAsia="zh-CN"/>
              </w:rPr>
              <w:t>实物</w:t>
            </w:r>
            <w:r>
              <w:rPr>
                <w:rFonts w:hint="eastAsia" w:ascii="宋体" w:hAnsi="宋体"/>
                <w:b/>
                <w:bCs/>
                <w:color w:val="auto"/>
                <w:szCs w:val="21"/>
                <w:highlight w:val="none"/>
              </w:rPr>
              <w:t>公章</w:t>
            </w:r>
            <w:r>
              <w:rPr>
                <w:rFonts w:hint="eastAsia" w:ascii="宋体" w:hAnsi="宋体"/>
                <w:b/>
                <w:bCs/>
                <w:color w:val="auto"/>
                <w:szCs w:val="21"/>
                <w:highlight w:val="none"/>
                <w:lang w:val="en-US" w:eastAsia="zh-CN"/>
              </w:rPr>
              <w:t>或电子公章</w:t>
            </w:r>
            <w:r>
              <w:rPr>
                <w:rFonts w:hint="eastAsia" w:ascii="宋体" w:hAnsi="宋体"/>
                <w:b/>
                <w:bCs/>
                <w:color w:val="auto"/>
                <w:szCs w:val="21"/>
                <w:highlight w:val="none"/>
              </w:rPr>
              <w:t>，否则按无效投标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14:paraId="3B83FC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50D2B266">
            <w:pPr>
              <w:shd w:val="clear"/>
              <w:spacing w:line="360" w:lineRule="auto"/>
              <w:jc w:val="center"/>
              <w:rPr>
                <w:rFonts w:hint="eastAsia" w:ascii="宋体" w:hAnsi="宋体"/>
                <w:color w:val="auto"/>
                <w:szCs w:val="21"/>
                <w:highlight w:val="none"/>
              </w:rPr>
            </w:pPr>
            <w:bookmarkStart w:id="62" w:name="_13.5"/>
            <w:bookmarkEnd w:id="62"/>
            <w:bookmarkStart w:id="63" w:name="_16.2"/>
            <w:bookmarkEnd w:id="63"/>
            <w:r>
              <w:rPr>
                <w:rFonts w:hint="eastAsia" w:ascii="宋体" w:hAnsi="宋体"/>
                <w:color w:val="auto"/>
                <w:szCs w:val="21"/>
                <w:highlight w:val="none"/>
              </w:rPr>
              <w:t>16</w:t>
            </w:r>
            <w:bookmarkStart w:id="64" w:name="_Hlt19194066"/>
            <w:bookmarkStart w:id="65" w:name="_Hlt19693759"/>
            <w:bookmarkStart w:id="66" w:name="_Hlt19693758"/>
            <w:bookmarkStart w:id="67" w:name="_Hlt19194067"/>
            <w:r>
              <w:rPr>
                <w:rFonts w:hint="eastAsia" w:ascii="宋体" w:hAnsi="宋体"/>
                <w:color w:val="auto"/>
                <w:szCs w:val="21"/>
                <w:highlight w:val="none"/>
              </w:rPr>
              <w:t>.</w:t>
            </w:r>
            <w:bookmarkEnd w:id="64"/>
            <w:bookmarkEnd w:id="65"/>
            <w:bookmarkEnd w:id="66"/>
            <w:bookmarkEnd w:id="67"/>
            <w:r>
              <w:rPr>
                <w:rFonts w:hint="eastAsia" w:ascii="宋体" w:hAnsi="宋体"/>
                <w:color w:val="auto"/>
                <w:szCs w:val="21"/>
                <w:highlight w:val="none"/>
              </w:rPr>
              <w:t>2</w:t>
            </w:r>
          </w:p>
        </w:tc>
        <w:tc>
          <w:tcPr>
            <w:tcW w:w="4483" w:type="pct"/>
            <w:tcBorders>
              <w:top w:val="single" w:color="auto" w:sz="4" w:space="0"/>
              <w:left w:val="single" w:color="auto" w:sz="4" w:space="0"/>
              <w:bottom w:val="single" w:color="auto" w:sz="4" w:space="0"/>
              <w:right w:val="single" w:color="auto" w:sz="4" w:space="0"/>
            </w:tcBorders>
            <w:vAlign w:val="center"/>
          </w:tcPr>
          <w:p w14:paraId="1ECD7A2D">
            <w:pPr>
              <w:shd w:val="clear"/>
              <w:spacing w:line="360" w:lineRule="auto"/>
              <w:rPr>
                <w:rFonts w:hint="eastAsia" w:ascii="宋体" w:hAnsi="宋体"/>
                <w:color w:val="auto"/>
                <w:szCs w:val="21"/>
                <w:highlight w:val="none"/>
              </w:rPr>
            </w:pPr>
            <w:r>
              <w:rPr>
                <w:rFonts w:hint="eastAsia" w:ascii="宋体" w:hAnsi="宋体"/>
                <w:color w:val="auto"/>
                <w:szCs w:val="21"/>
                <w:highlight w:val="none"/>
              </w:rPr>
              <w:t>1、本项目投标以人民币计价</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以下浮系数做出报价</w:t>
            </w:r>
            <w:r>
              <w:rPr>
                <w:rFonts w:hint="eastAsia" w:ascii="宋体" w:hAnsi="宋体"/>
                <w:color w:val="auto"/>
                <w:szCs w:val="21"/>
                <w:highlight w:val="none"/>
              </w:rPr>
              <w:t>；</w:t>
            </w:r>
          </w:p>
          <w:p w14:paraId="14DD674A">
            <w:pPr>
              <w:shd w:val="clear"/>
              <w:spacing w:line="360" w:lineRule="auto"/>
              <w:rPr>
                <w:rFonts w:hint="eastAsia" w:ascii="宋体" w:hAnsi="宋体"/>
                <w:b/>
                <w:color w:val="auto"/>
                <w:szCs w:val="21"/>
                <w:highlight w:val="none"/>
              </w:rPr>
            </w:pPr>
            <w:r>
              <w:rPr>
                <w:rFonts w:hint="eastAsia" w:ascii="宋体" w:hAnsi="宋体"/>
                <w:color w:val="auto"/>
                <w:szCs w:val="21"/>
                <w:highlight w:val="none"/>
              </w:rPr>
              <w:t>2、不论投标结果如何，投标人均应自行承担所有与投标有关的全部费用。</w:t>
            </w:r>
          </w:p>
        </w:tc>
      </w:tr>
      <w:tr w14:paraId="320BE9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0E984A84">
            <w:pPr>
              <w:shd w:val="clear"/>
              <w:spacing w:line="360" w:lineRule="auto"/>
              <w:jc w:val="center"/>
              <w:rPr>
                <w:rFonts w:hint="eastAsia" w:ascii="宋体" w:hAnsi="宋体"/>
                <w:color w:val="auto"/>
                <w:szCs w:val="21"/>
                <w:highlight w:val="none"/>
              </w:rPr>
            </w:pPr>
            <w:bookmarkStart w:id="68" w:name="_17.1"/>
            <w:bookmarkEnd w:id="68"/>
            <w:r>
              <w:rPr>
                <w:rFonts w:hint="eastAsia" w:ascii="宋体" w:hAnsi="宋体"/>
                <w:color w:val="auto"/>
                <w:szCs w:val="21"/>
                <w:highlight w:val="none"/>
              </w:rPr>
              <w:t>17.</w:t>
            </w:r>
            <w:r>
              <w:rPr>
                <w:rFonts w:ascii="宋体" w:hAnsi="宋体"/>
                <w:color w:val="auto"/>
                <w:szCs w:val="21"/>
                <w:highlight w:val="none"/>
              </w:rPr>
              <w:t>2</w:t>
            </w:r>
          </w:p>
        </w:tc>
        <w:tc>
          <w:tcPr>
            <w:tcW w:w="4483" w:type="pct"/>
            <w:tcBorders>
              <w:top w:val="single" w:color="auto" w:sz="4" w:space="0"/>
              <w:left w:val="single" w:color="auto" w:sz="4" w:space="0"/>
              <w:bottom w:val="single" w:color="auto" w:sz="4" w:space="0"/>
              <w:right w:val="single" w:color="auto" w:sz="4" w:space="0"/>
            </w:tcBorders>
            <w:vAlign w:val="center"/>
          </w:tcPr>
          <w:p w14:paraId="6D193487">
            <w:pPr>
              <w:shd w:val="clear"/>
              <w:spacing w:line="360" w:lineRule="auto"/>
              <w:rPr>
                <w:rFonts w:hint="eastAsia" w:ascii="宋体" w:hAnsi="宋体"/>
                <w:color w:val="auto"/>
                <w:szCs w:val="21"/>
                <w:highlight w:val="none"/>
              </w:rPr>
            </w:pPr>
            <w:r>
              <w:rPr>
                <w:rFonts w:hint="eastAsia" w:ascii="宋体" w:hAnsi="宋体"/>
                <w:color w:val="auto"/>
                <w:szCs w:val="21"/>
                <w:highlight w:val="none"/>
              </w:rPr>
              <w:t>投标有效期：自投标截止之日起</w:t>
            </w:r>
            <w:r>
              <w:rPr>
                <w:rFonts w:ascii="宋体" w:hAnsi="宋体"/>
                <w:color w:val="auto"/>
                <w:szCs w:val="21"/>
                <w:highlight w:val="none"/>
                <w:u w:val="single"/>
              </w:rPr>
              <w:t xml:space="preserve"> </w:t>
            </w:r>
            <w:r>
              <w:rPr>
                <w:rFonts w:hint="eastAsia" w:ascii="宋体" w:hAnsi="宋体"/>
                <w:color w:val="auto"/>
                <w:szCs w:val="21"/>
                <w:highlight w:val="none"/>
                <w:u w:val="single"/>
              </w:rPr>
              <w:t>120</w:t>
            </w:r>
            <w:r>
              <w:rPr>
                <w:rFonts w:hint="eastAsia" w:ascii="宋体" w:hAnsi="宋体"/>
                <w:color w:val="auto"/>
                <w:szCs w:val="21"/>
                <w:highlight w:val="none"/>
              </w:rPr>
              <w:t>日。</w:t>
            </w:r>
          </w:p>
        </w:tc>
      </w:tr>
      <w:tr w14:paraId="4905DB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19F8A1DD">
            <w:pPr>
              <w:shd w:val="clear"/>
              <w:spacing w:line="360" w:lineRule="auto"/>
              <w:jc w:val="center"/>
              <w:rPr>
                <w:rFonts w:hint="eastAsia" w:ascii="宋体" w:hAnsi="宋体"/>
                <w:color w:val="auto"/>
                <w:szCs w:val="21"/>
                <w:highlight w:val="none"/>
              </w:rPr>
            </w:pPr>
            <w:bookmarkStart w:id="69" w:name="_18"/>
            <w:bookmarkEnd w:id="69"/>
            <w:r>
              <w:rPr>
                <w:rFonts w:hint="eastAsia" w:ascii="宋体" w:hAnsi="宋体"/>
                <w:color w:val="auto"/>
                <w:szCs w:val="21"/>
                <w:highlight w:val="none"/>
              </w:rPr>
              <w:t>18</w:t>
            </w:r>
            <w:r>
              <w:rPr>
                <w:rFonts w:ascii="宋体" w:hAnsi="宋体"/>
                <w:color w:val="auto"/>
                <w:szCs w:val="21"/>
                <w:highlight w:val="none"/>
              </w:rPr>
              <w:t>.1</w:t>
            </w:r>
          </w:p>
        </w:tc>
        <w:tc>
          <w:tcPr>
            <w:tcW w:w="4483" w:type="pct"/>
            <w:tcBorders>
              <w:top w:val="single" w:color="auto" w:sz="4" w:space="0"/>
              <w:left w:val="single" w:color="auto" w:sz="4" w:space="0"/>
              <w:bottom w:val="single" w:color="auto" w:sz="4" w:space="0"/>
              <w:right w:val="single" w:color="auto" w:sz="4" w:space="0"/>
            </w:tcBorders>
            <w:vAlign w:val="center"/>
          </w:tcPr>
          <w:p w14:paraId="07F62A87">
            <w:pPr>
              <w:shd w:val="clear"/>
              <w:spacing w:line="360" w:lineRule="auto"/>
              <w:rPr>
                <w:rFonts w:hint="eastAsia" w:ascii="宋体" w:hAnsi="宋体"/>
                <w:color w:val="auto"/>
                <w:szCs w:val="21"/>
                <w:highlight w:val="none"/>
              </w:rPr>
            </w:pPr>
            <w:r>
              <w:rPr>
                <w:rFonts w:hint="eastAsia" w:ascii="宋体" w:hAnsi="宋体"/>
                <w:b/>
                <w:color w:val="auto"/>
                <w:szCs w:val="21"/>
                <w:highlight w:val="none"/>
              </w:rPr>
              <w:t>√</w:t>
            </w:r>
            <w:r>
              <w:rPr>
                <w:rFonts w:hint="eastAsia" w:ascii="宋体" w:hAnsi="宋体"/>
                <w:color w:val="auto"/>
                <w:szCs w:val="21"/>
                <w:highlight w:val="none"/>
              </w:rPr>
              <w:t>本项目收取投标保证金，具体规定如下：</w:t>
            </w:r>
          </w:p>
          <w:p w14:paraId="21AB35FE">
            <w:pPr>
              <w:shd w:val="clear"/>
              <w:spacing w:line="360" w:lineRule="auto"/>
              <w:rPr>
                <w:rFonts w:hint="eastAsia" w:ascii="宋体" w:hAnsi="宋体"/>
                <w:color w:val="auto"/>
                <w:szCs w:val="21"/>
                <w:highlight w:val="none"/>
              </w:rPr>
            </w:pP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分标投标保证金人民币</w:t>
            </w:r>
            <w:r>
              <w:rPr>
                <w:rFonts w:hint="eastAsia" w:ascii="宋体" w:hAnsi="宋体" w:cs="宋体"/>
                <w:b/>
                <w:bCs/>
                <w:color w:val="auto"/>
                <w:kern w:val="0"/>
                <w:szCs w:val="21"/>
                <w:highlight w:val="none"/>
                <w:u w:val="single"/>
                <w:lang w:val="en-US" w:eastAsia="zh-CN"/>
              </w:rPr>
              <w:t>46</w:t>
            </w:r>
            <w:r>
              <w:rPr>
                <w:rFonts w:hint="eastAsia" w:ascii="宋体" w:hAnsi="宋体" w:cs="宋体"/>
                <w:b/>
                <w:bCs/>
                <w:color w:val="auto"/>
                <w:kern w:val="0"/>
                <w:szCs w:val="21"/>
                <w:highlight w:val="none"/>
                <w:u w:val="single"/>
              </w:rPr>
              <w:t>000</w:t>
            </w:r>
            <w:r>
              <w:rPr>
                <w:rFonts w:hint="eastAsia" w:ascii="宋体" w:hAnsi="宋体" w:cs="宋体"/>
                <w:b/>
                <w:color w:val="auto"/>
                <w:kern w:val="0"/>
                <w:szCs w:val="21"/>
                <w:highlight w:val="none"/>
                <w:u w:val="single"/>
              </w:rPr>
              <w:t>元</w:t>
            </w:r>
            <w:r>
              <w:rPr>
                <w:rFonts w:hint="eastAsia" w:ascii="宋体" w:hAnsi="宋体" w:cs="宋体"/>
                <w:color w:val="auto"/>
                <w:kern w:val="0"/>
                <w:szCs w:val="21"/>
                <w:highlight w:val="none"/>
              </w:rPr>
              <w:t>。</w:t>
            </w:r>
          </w:p>
          <w:p w14:paraId="0962EED9">
            <w:pPr>
              <w:shd w:val="clear"/>
              <w:spacing w:line="360" w:lineRule="auto"/>
              <w:rPr>
                <w:rFonts w:hint="eastAsia" w:ascii="宋体" w:hAnsi="宋体"/>
                <w:color w:val="auto"/>
                <w:szCs w:val="21"/>
                <w:highlight w:val="none"/>
              </w:rPr>
            </w:pPr>
            <w:r>
              <w:rPr>
                <w:rFonts w:hint="eastAsia" w:ascii="宋体" w:hAnsi="宋体" w:cs="宋体"/>
                <w:color w:val="auto"/>
                <w:kern w:val="0"/>
                <w:szCs w:val="21"/>
                <w:highlight w:val="none"/>
              </w:rPr>
              <w:t>投标保证金的交纳方式：银行转账、支票、汇票、本票或者银行、保险机构出具的保函，禁止采用现钞方式。采用银行转账方式的，在投标截止时间前交至采购代理机构指定账户并且到账</w:t>
            </w:r>
            <w:r>
              <w:rPr>
                <w:rFonts w:hint="eastAsia"/>
                <w:color w:val="auto"/>
                <w:szCs w:val="21"/>
                <w:highlight w:val="none"/>
              </w:rPr>
              <w:t>【开户名称：华采招标集团有限公司广西分公司，开户银行：中国建设银行股份有限公司广西自贸试验区南宁片区五象支行（联行号：105611050013），银行账号：45050160500100000537】</w:t>
            </w:r>
            <w:r>
              <w:rPr>
                <w:rFonts w:hint="eastAsia" w:ascii="宋体" w:hAnsi="宋体" w:cs="宋体"/>
                <w:color w:val="auto"/>
                <w:kern w:val="0"/>
                <w:szCs w:val="21"/>
                <w:highlight w:val="none"/>
              </w:rPr>
              <w:t>；采用支票、汇票、本票或者保函等方式的，在投标截止时间前，投标人必须递交单独密封的支票、汇票、本票或者保函原件。否则视为无效投标保证金。</w:t>
            </w:r>
          </w:p>
          <w:p w14:paraId="481BF629">
            <w:pPr>
              <w:shd w:val="clear"/>
              <w:spacing w:line="360" w:lineRule="auto"/>
              <w:rPr>
                <w:rFonts w:hint="eastAsia" w:ascii="宋体" w:hAnsi="宋体"/>
                <w:color w:val="auto"/>
                <w:szCs w:val="21"/>
                <w:highlight w:val="none"/>
              </w:rPr>
            </w:pPr>
            <w:r>
              <w:rPr>
                <w:rFonts w:hint="eastAsia" w:ascii="宋体" w:hAnsi="宋体"/>
                <w:color w:val="auto"/>
                <w:szCs w:val="21"/>
                <w:highlight w:val="none"/>
              </w:rPr>
              <w:t>相关要求：</w:t>
            </w:r>
          </w:p>
          <w:p w14:paraId="7708995E">
            <w:pPr>
              <w:pStyle w:val="17"/>
              <w:shd w:val="clear"/>
              <w:spacing w:line="360" w:lineRule="auto"/>
              <w:rPr>
                <w:rFonts w:hint="eastAsia" w:ascii="宋体" w:hAnsi="宋体"/>
                <w:color w:val="auto"/>
                <w:szCs w:val="21"/>
                <w:highlight w:val="none"/>
              </w:rPr>
            </w:pPr>
            <w:r>
              <w:rPr>
                <w:rFonts w:hint="eastAsia" w:ascii="宋体" w:hAnsi="宋体"/>
                <w:color w:val="auto"/>
                <w:szCs w:val="21"/>
                <w:highlight w:val="none"/>
              </w:rPr>
              <w:t>1.投标保证金采用银行转账交纳方式的，在投标截止时间前交至采购代理机构指定账户并且到账，投标人应将银行转账底单的复印件作为投标保证金提交凭证，</w:t>
            </w:r>
            <w:r>
              <w:rPr>
                <w:rFonts w:ascii="宋体" w:hAnsi="宋体"/>
                <w:color w:val="auto"/>
                <w:szCs w:val="21"/>
                <w:highlight w:val="none"/>
              </w:rPr>
              <w:t>放置于</w:t>
            </w:r>
            <w:r>
              <w:rPr>
                <w:rFonts w:hint="eastAsia" w:ascii="宋体" w:hAnsi="宋体"/>
                <w:color w:val="auto"/>
                <w:szCs w:val="21"/>
                <w:highlight w:val="none"/>
              </w:rPr>
              <w:t>商务文件</w:t>
            </w:r>
            <w:r>
              <w:rPr>
                <w:rFonts w:ascii="宋体" w:hAnsi="宋体"/>
                <w:color w:val="auto"/>
                <w:szCs w:val="21"/>
                <w:highlight w:val="none"/>
              </w:rPr>
              <w:t>中</w:t>
            </w:r>
            <w:r>
              <w:rPr>
                <w:rFonts w:hint="eastAsia" w:ascii="宋体" w:hAnsi="宋体"/>
                <w:color w:val="auto"/>
                <w:szCs w:val="21"/>
                <w:highlight w:val="none"/>
              </w:rPr>
              <w:t>，</w:t>
            </w:r>
            <w:r>
              <w:rPr>
                <w:rFonts w:hint="eastAsia" w:ascii="宋体" w:hAnsi="宋体"/>
                <w:b/>
                <w:color w:val="auto"/>
                <w:szCs w:val="21"/>
                <w:highlight w:val="none"/>
              </w:rPr>
              <w:t>否则投标无效</w:t>
            </w:r>
            <w:r>
              <w:rPr>
                <w:rFonts w:hint="eastAsia" w:ascii="宋体" w:hAnsi="宋体"/>
                <w:color w:val="auto"/>
                <w:szCs w:val="21"/>
                <w:highlight w:val="none"/>
              </w:rPr>
              <w:t>。</w:t>
            </w:r>
          </w:p>
          <w:p w14:paraId="052AD31E">
            <w:pPr>
              <w:shd w:val="clear"/>
              <w:spacing w:line="360" w:lineRule="auto"/>
              <w:rPr>
                <w:rFonts w:hint="eastAsia" w:ascii="宋体" w:hAnsi="宋体"/>
                <w:color w:val="auto"/>
                <w:szCs w:val="21"/>
                <w:highlight w:val="none"/>
              </w:rPr>
            </w:pPr>
            <w:r>
              <w:rPr>
                <w:rFonts w:hint="eastAsia" w:ascii="宋体" w:hAnsi="宋体"/>
                <w:color w:val="auto"/>
                <w:szCs w:val="21"/>
                <w:highlight w:val="none"/>
              </w:rPr>
              <w:t>2.投标保证金采用支票、汇票、本票或者银行、保险机构出具的保函交纳方式的，投标人应将支票、汇票、本票或者银行、保险机构出具的保函的复印件作为投标保证金提交凭证，放置于商务文件中，</w:t>
            </w:r>
            <w:r>
              <w:rPr>
                <w:rFonts w:hint="eastAsia" w:ascii="宋体" w:hAnsi="宋体"/>
                <w:b/>
                <w:color w:val="auto"/>
                <w:szCs w:val="21"/>
                <w:highlight w:val="none"/>
              </w:rPr>
              <w:t>否则投标无效</w:t>
            </w:r>
            <w:r>
              <w:rPr>
                <w:rFonts w:hint="eastAsia" w:ascii="宋体" w:hAnsi="宋体"/>
                <w:color w:val="auto"/>
                <w:szCs w:val="21"/>
                <w:highlight w:val="none"/>
              </w:rPr>
              <w:t>。投标人必须于递交投标文件时将支票、汇票、本票或者银行、保险机构出具的保函原件提交给招标人或者采购代理机构，由招标人或者采购代理机构向投标人出具回执，并妥善保管。</w:t>
            </w:r>
          </w:p>
          <w:p w14:paraId="03C1C738">
            <w:pPr>
              <w:shd w:val="clear"/>
              <w:spacing w:line="360" w:lineRule="auto"/>
              <w:rPr>
                <w:rFonts w:hint="eastAsia" w:ascii="宋体" w:hAnsi="宋体"/>
                <w:b/>
                <w:color w:val="auto"/>
                <w:szCs w:val="21"/>
                <w:highlight w:val="none"/>
              </w:rPr>
            </w:pPr>
            <w:r>
              <w:rPr>
                <w:rFonts w:hint="eastAsia" w:ascii="宋体" w:hAnsi="宋体"/>
                <w:b/>
                <w:color w:val="auto"/>
                <w:szCs w:val="21"/>
                <w:highlight w:val="none"/>
              </w:rPr>
              <w:t xml:space="preserve">备注： </w:t>
            </w:r>
          </w:p>
          <w:p w14:paraId="43A62407">
            <w:pPr>
              <w:shd w:val="clear"/>
              <w:spacing w:line="360" w:lineRule="auto"/>
              <w:rPr>
                <w:rFonts w:hint="eastAsia" w:ascii="宋体" w:hAnsi="宋体"/>
                <w:b/>
                <w:color w:val="auto"/>
                <w:szCs w:val="21"/>
                <w:highlight w:val="none"/>
              </w:rPr>
            </w:pPr>
            <w:r>
              <w:rPr>
                <w:rFonts w:hint="eastAsia" w:ascii="宋体" w:hAnsi="宋体"/>
                <w:b/>
                <w:color w:val="auto"/>
                <w:szCs w:val="21"/>
                <w:highlight w:val="none"/>
              </w:rPr>
              <w:t>1. 投标保证金在投标截止时间后提交的，或者不按规定交纳方式交纳的，或者未足额交纳的（包含保函额度不足的），视为无效投标保证金。</w:t>
            </w:r>
          </w:p>
          <w:p w14:paraId="5CB360B9">
            <w:pPr>
              <w:shd w:val="clear"/>
              <w:spacing w:line="360" w:lineRule="auto"/>
              <w:rPr>
                <w:rFonts w:hint="eastAsia" w:ascii="宋体" w:hAnsi="宋体"/>
                <w:b/>
                <w:color w:val="auto"/>
                <w:szCs w:val="21"/>
                <w:highlight w:val="none"/>
              </w:rPr>
            </w:pPr>
            <w:r>
              <w:rPr>
                <w:rFonts w:hint="eastAsia" w:ascii="宋体" w:hAnsi="宋体"/>
                <w:b/>
                <w:color w:val="auto"/>
                <w:szCs w:val="21"/>
                <w:highlight w:val="none"/>
              </w:rPr>
              <w:t>2.投标人采用现钞方式或者从个人账户（自然人投标除外）转出的投标保证金，视为无效投标保证金。</w:t>
            </w:r>
          </w:p>
          <w:p w14:paraId="7D337776">
            <w:pPr>
              <w:shd w:val="clear"/>
              <w:spacing w:line="360" w:lineRule="auto"/>
              <w:rPr>
                <w:rFonts w:hint="eastAsia" w:ascii="宋体" w:hAnsi="宋体"/>
                <w:b/>
                <w:color w:val="auto"/>
                <w:szCs w:val="21"/>
                <w:highlight w:val="none"/>
              </w:rPr>
            </w:pPr>
            <w:r>
              <w:rPr>
                <w:rFonts w:hint="eastAsia" w:ascii="宋体" w:hAnsi="宋体"/>
                <w:b/>
                <w:color w:val="auto"/>
                <w:szCs w:val="21"/>
                <w:highlight w:val="none"/>
              </w:rPr>
              <w:t>3.支票、汇票或者本票出现无效或者背书情形的，视为无效投标保证金。</w:t>
            </w:r>
          </w:p>
          <w:p w14:paraId="1AAF9EF9">
            <w:pPr>
              <w:shd w:val="clear"/>
              <w:spacing w:line="360" w:lineRule="auto"/>
              <w:rPr>
                <w:rFonts w:hint="eastAsia" w:ascii="宋体" w:hAnsi="宋体"/>
                <w:b/>
                <w:color w:val="auto"/>
                <w:szCs w:val="21"/>
                <w:highlight w:val="none"/>
              </w:rPr>
            </w:pPr>
            <w:r>
              <w:rPr>
                <w:rFonts w:hint="eastAsia" w:ascii="宋体" w:hAnsi="宋体"/>
                <w:b/>
                <w:color w:val="auto"/>
                <w:szCs w:val="21"/>
                <w:highlight w:val="none"/>
              </w:rPr>
              <w:t>4.保函有效期低于投标有效期的，视为无效投标保证金。</w:t>
            </w:r>
          </w:p>
          <w:p w14:paraId="616A556B">
            <w:pPr>
              <w:shd w:val="clear"/>
              <w:spacing w:line="360" w:lineRule="auto"/>
              <w:rPr>
                <w:rFonts w:hint="eastAsia" w:ascii="宋体" w:hAnsi="宋体"/>
                <w:b/>
                <w:color w:val="auto"/>
                <w:szCs w:val="21"/>
                <w:highlight w:val="none"/>
              </w:rPr>
            </w:pPr>
            <w:r>
              <w:rPr>
                <w:rFonts w:hint="eastAsia" w:ascii="宋体" w:hAnsi="宋体"/>
                <w:b/>
                <w:color w:val="auto"/>
                <w:szCs w:val="21"/>
                <w:highlight w:val="none"/>
              </w:rPr>
              <w:t>5.采用银行、保险机构出具保函的，必须为无条件保函，否则视为无效投标保证金。</w:t>
            </w:r>
          </w:p>
        </w:tc>
      </w:tr>
      <w:tr w14:paraId="1C167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36DF18BC">
            <w:pPr>
              <w:shd w:val="clear"/>
              <w:spacing w:line="360" w:lineRule="auto"/>
              <w:jc w:val="center"/>
              <w:rPr>
                <w:rFonts w:hint="eastAsia" w:ascii="宋体" w:hAnsi="宋体"/>
                <w:color w:val="auto"/>
                <w:szCs w:val="21"/>
                <w:highlight w:val="none"/>
              </w:rPr>
            </w:pPr>
            <w:bookmarkStart w:id="70" w:name="_19.2"/>
            <w:bookmarkEnd w:id="70"/>
            <w:r>
              <w:rPr>
                <w:rFonts w:hint="eastAsia" w:ascii="宋体" w:hAnsi="宋体"/>
                <w:color w:val="auto"/>
                <w:szCs w:val="21"/>
                <w:highlight w:val="none"/>
              </w:rPr>
              <w:t>19.2</w:t>
            </w:r>
          </w:p>
        </w:tc>
        <w:tc>
          <w:tcPr>
            <w:tcW w:w="4483" w:type="pct"/>
            <w:tcBorders>
              <w:top w:val="single" w:color="auto" w:sz="4" w:space="0"/>
              <w:left w:val="single" w:color="auto" w:sz="4" w:space="0"/>
              <w:bottom w:val="single" w:color="auto" w:sz="4" w:space="0"/>
              <w:right w:val="single" w:color="auto" w:sz="4" w:space="0"/>
            </w:tcBorders>
            <w:vAlign w:val="center"/>
          </w:tcPr>
          <w:p w14:paraId="1A82D090">
            <w:pPr>
              <w:shd w:val="clear"/>
              <w:autoSpaceDE w:val="0"/>
              <w:autoSpaceDN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投标文件应按报价文件、资格证明文件、商务文件、技术文件分别编制，报价文件、资格证明文件分别生成电子文件，商务文件和技术文件按顺序合并生成电子文件。</w:t>
            </w:r>
          </w:p>
        </w:tc>
      </w:tr>
      <w:tr w14:paraId="243350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516" w:type="pct"/>
            <w:tcBorders>
              <w:top w:val="single" w:color="auto" w:sz="4" w:space="0"/>
              <w:left w:val="single" w:color="auto" w:sz="4" w:space="0"/>
              <w:bottom w:val="single" w:color="auto" w:sz="4" w:space="0"/>
              <w:right w:val="single" w:color="auto" w:sz="4" w:space="0"/>
            </w:tcBorders>
            <w:vAlign w:val="center"/>
          </w:tcPr>
          <w:p w14:paraId="22BC17A5">
            <w:pPr>
              <w:shd w:val="clear"/>
              <w:spacing w:line="360" w:lineRule="auto"/>
              <w:jc w:val="center"/>
              <w:rPr>
                <w:rFonts w:hint="eastAsia" w:ascii="宋体" w:hAnsi="宋体"/>
                <w:color w:val="auto"/>
                <w:szCs w:val="21"/>
                <w:highlight w:val="none"/>
              </w:rPr>
            </w:pPr>
            <w:bookmarkStart w:id="71" w:name="_21.1"/>
            <w:bookmarkEnd w:id="71"/>
            <w:r>
              <w:rPr>
                <w:rFonts w:hint="eastAsia" w:ascii="宋体" w:hAnsi="宋体"/>
                <w:color w:val="auto"/>
                <w:szCs w:val="21"/>
                <w:highlight w:val="none"/>
              </w:rPr>
              <w:t>21.1</w:t>
            </w:r>
          </w:p>
        </w:tc>
        <w:tc>
          <w:tcPr>
            <w:tcW w:w="4483" w:type="pct"/>
            <w:tcBorders>
              <w:top w:val="single" w:color="auto" w:sz="4" w:space="0"/>
              <w:left w:val="single" w:color="auto" w:sz="4" w:space="0"/>
              <w:bottom w:val="single" w:color="auto" w:sz="4" w:space="0"/>
              <w:right w:val="single" w:color="auto" w:sz="4" w:space="0"/>
            </w:tcBorders>
            <w:vAlign w:val="center"/>
          </w:tcPr>
          <w:p w14:paraId="7A6693A2">
            <w:pPr>
              <w:shd w:val="clear"/>
              <w:spacing w:line="360" w:lineRule="auto"/>
              <w:rPr>
                <w:rFonts w:hint="eastAsia" w:ascii="宋体" w:hAnsi="宋体"/>
                <w:color w:val="auto"/>
                <w:szCs w:val="21"/>
                <w:highlight w:val="none"/>
                <w:u w:val="single"/>
              </w:rPr>
            </w:pPr>
            <w:r>
              <w:rPr>
                <w:rFonts w:hint="eastAsia" w:ascii="宋体" w:hAnsi="宋体"/>
                <w:color w:val="auto"/>
                <w:szCs w:val="21"/>
                <w:highlight w:val="none"/>
              </w:rPr>
              <w:t>1.投标截止时间：详见招标公告</w:t>
            </w:r>
          </w:p>
          <w:p w14:paraId="3E9BC7FC">
            <w:pPr>
              <w:shd w:val="clear"/>
              <w:spacing w:line="360" w:lineRule="auto"/>
              <w:rPr>
                <w:rFonts w:hint="eastAsia" w:ascii="宋体" w:hAnsi="宋体"/>
                <w:b/>
                <w:color w:val="auto"/>
                <w:szCs w:val="21"/>
                <w:highlight w:val="none"/>
              </w:rPr>
            </w:pPr>
            <w:r>
              <w:rPr>
                <w:rFonts w:hint="eastAsia" w:ascii="宋体" w:hAnsi="宋体"/>
                <w:color w:val="auto"/>
                <w:szCs w:val="21"/>
                <w:highlight w:val="none"/>
              </w:rPr>
              <w:t>2.投标文件提交起止时间：开标时间截止前</w:t>
            </w:r>
          </w:p>
          <w:p w14:paraId="4B8DE0B1">
            <w:pPr>
              <w:shd w:val="clear"/>
              <w:spacing w:line="360" w:lineRule="auto"/>
              <w:rPr>
                <w:rFonts w:hint="eastAsia" w:ascii="宋体" w:hAnsi="宋体"/>
                <w:color w:val="auto"/>
                <w:szCs w:val="21"/>
                <w:highlight w:val="none"/>
              </w:rPr>
            </w:pPr>
            <w:r>
              <w:rPr>
                <w:rFonts w:hint="eastAsia" w:ascii="宋体" w:hAnsi="宋体"/>
                <w:color w:val="auto"/>
                <w:szCs w:val="21"/>
                <w:highlight w:val="none"/>
              </w:rPr>
              <w:t>3.投标地点：详见招标公告</w:t>
            </w:r>
          </w:p>
        </w:tc>
      </w:tr>
      <w:tr w14:paraId="4BC7D6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3F91BF85">
            <w:pPr>
              <w:shd w:val="clear"/>
              <w:spacing w:line="360" w:lineRule="auto"/>
              <w:jc w:val="center"/>
              <w:rPr>
                <w:rFonts w:hint="eastAsia" w:ascii="宋体" w:hAnsi="宋体"/>
                <w:color w:val="auto"/>
                <w:szCs w:val="21"/>
                <w:highlight w:val="none"/>
              </w:rPr>
            </w:pPr>
            <w:bookmarkStart w:id="72" w:name="_23"/>
            <w:bookmarkEnd w:id="72"/>
            <w:r>
              <w:rPr>
                <w:rFonts w:hint="eastAsia" w:ascii="宋体" w:hAnsi="宋体"/>
                <w:color w:val="auto"/>
                <w:szCs w:val="21"/>
                <w:highlight w:val="none"/>
              </w:rPr>
              <w:t>23</w:t>
            </w:r>
          </w:p>
        </w:tc>
        <w:tc>
          <w:tcPr>
            <w:tcW w:w="4483" w:type="pct"/>
            <w:tcBorders>
              <w:top w:val="single" w:color="auto" w:sz="4" w:space="0"/>
              <w:left w:val="single" w:color="auto" w:sz="4" w:space="0"/>
              <w:bottom w:val="single" w:color="auto" w:sz="4" w:space="0"/>
              <w:right w:val="single" w:color="auto" w:sz="4" w:space="0"/>
            </w:tcBorders>
            <w:vAlign w:val="center"/>
          </w:tcPr>
          <w:p w14:paraId="44596FB0">
            <w:pPr>
              <w:shd w:val="clear"/>
              <w:spacing w:line="360" w:lineRule="auto"/>
              <w:rPr>
                <w:rFonts w:hint="eastAsia" w:ascii="宋体" w:hAnsi="宋体"/>
                <w:color w:val="auto"/>
                <w:szCs w:val="21"/>
                <w:highlight w:val="none"/>
              </w:rPr>
            </w:pPr>
            <w:r>
              <w:rPr>
                <w:rFonts w:hint="eastAsia" w:ascii="宋体" w:hAnsi="宋体"/>
                <w:color w:val="auto"/>
                <w:szCs w:val="21"/>
                <w:highlight w:val="none"/>
              </w:rPr>
              <w:t>1.开标时间：详见招标公告</w:t>
            </w:r>
          </w:p>
          <w:p w14:paraId="40112A2D">
            <w:pPr>
              <w:shd w:val="clear"/>
              <w:spacing w:line="360" w:lineRule="auto"/>
              <w:rPr>
                <w:rFonts w:hint="eastAsia" w:ascii="宋体" w:hAnsi="宋体"/>
                <w:color w:val="auto"/>
                <w:szCs w:val="21"/>
                <w:highlight w:val="none"/>
              </w:rPr>
            </w:pPr>
            <w:r>
              <w:rPr>
                <w:rFonts w:hint="eastAsia" w:ascii="宋体" w:hAnsi="宋体"/>
                <w:color w:val="auto"/>
                <w:szCs w:val="21"/>
                <w:highlight w:val="none"/>
              </w:rPr>
              <w:t>2.开标地点：详见招标公告</w:t>
            </w:r>
          </w:p>
        </w:tc>
      </w:tr>
      <w:tr w14:paraId="5F2283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4EC7B33D">
            <w:pPr>
              <w:shd w:val="clear"/>
              <w:spacing w:line="360" w:lineRule="auto"/>
              <w:jc w:val="center"/>
              <w:rPr>
                <w:rFonts w:hint="eastAsia" w:ascii="宋体" w:hAnsi="宋体"/>
                <w:color w:val="auto"/>
                <w:szCs w:val="21"/>
                <w:highlight w:val="none"/>
              </w:rPr>
            </w:pPr>
            <w:bookmarkStart w:id="73" w:name="_25.3"/>
            <w:bookmarkEnd w:id="73"/>
            <w:r>
              <w:rPr>
                <w:rFonts w:hint="eastAsia" w:ascii="宋体" w:hAnsi="宋体"/>
                <w:color w:val="auto"/>
                <w:szCs w:val="21"/>
                <w:highlight w:val="none"/>
              </w:rPr>
              <w:t>25.3（3）</w:t>
            </w:r>
          </w:p>
        </w:tc>
        <w:tc>
          <w:tcPr>
            <w:tcW w:w="4483" w:type="pct"/>
            <w:tcBorders>
              <w:top w:val="single" w:color="auto" w:sz="4" w:space="0"/>
              <w:left w:val="single" w:color="auto" w:sz="4" w:space="0"/>
              <w:bottom w:val="single" w:color="auto" w:sz="4" w:space="0"/>
              <w:right w:val="single" w:color="auto" w:sz="4" w:space="0"/>
            </w:tcBorders>
            <w:vAlign w:val="center"/>
          </w:tcPr>
          <w:p w14:paraId="128248AF">
            <w:pPr>
              <w:shd w:val="clear"/>
              <w:spacing w:line="360" w:lineRule="auto"/>
              <w:rPr>
                <w:rFonts w:hint="eastAsia" w:ascii="宋体" w:hAnsi="宋体"/>
                <w:color w:val="auto"/>
                <w:szCs w:val="21"/>
                <w:highlight w:val="none"/>
              </w:rPr>
            </w:pPr>
            <w:r>
              <w:rPr>
                <w:rFonts w:hint="eastAsia" w:ascii="宋体" w:hAnsi="宋体"/>
                <w:color w:val="auto"/>
                <w:szCs w:val="21"/>
                <w:highlight w:val="none"/>
              </w:rPr>
              <w:t>招标人或者采购代理机构在资格审查结束前，对投标人进行信用查询。</w:t>
            </w:r>
          </w:p>
          <w:p w14:paraId="358C3549">
            <w:pPr>
              <w:shd w:val="clear"/>
              <w:spacing w:line="360" w:lineRule="auto"/>
              <w:rPr>
                <w:rFonts w:hint="eastAsia" w:ascii="宋体" w:hAnsi="宋体"/>
                <w:color w:val="auto"/>
                <w:szCs w:val="21"/>
                <w:highlight w:val="none"/>
              </w:rPr>
            </w:pPr>
            <w:r>
              <w:rPr>
                <w:rFonts w:hint="eastAsia" w:ascii="宋体" w:hAnsi="宋体"/>
                <w:color w:val="auto"/>
                <w:szCs w:val="21"/>
                <w:highlight w:val="none"/>
              </w:rPr>
              <w:t>查询渠道：“信用中国”网站(www.creditchina.gov.cn) 、中国政府采购网(www.ccgp.gov.cn)。</w:t>
            </w:r>
          </w:p>
          <w:p w14:paraId="69614B6B">
            <w:pPr>
              <w:shd w:val="clear"/>
              <w:spacing w:line="360" w:lineRule="auto"/>
              <w:rPr>
                <w:rFonts w:hint="eastAsia" w:ascii="宋体" w:hAnsi="宋体"/>
                <w:color w:val="auto"/>
                <w:szCs w:val="21"/>
                <w:highlight w:val="none"/>
              </w:rPr>
            </w:pPr>
            <w:r>
              <w:rPr>
                <w:rFonts w:hint="eastAsia" w:ascii="宋体" w:hAnsi="宋体"/>
                <w:color w:val="auto"/>
                <w:szCs w:val="21"/>
                <w:highlight w:val="none"/>
              </w:rPr>
              <w:t>信用查询截止时点：资格审查结束前</w:t>
            </w:r>
          </w:p>
          <w:p w14:paraId="0FBAC08D">
            <w:pPr>
              <w:shd w:val="clear"/>
              <w:spacing w:line="360" w:lineRule="auto"/>
              <w:rPr>
                <w:rFonts w:hint="eastAsia" w:ascii="宋体" w:hAnsi="宋体"/>
                <w:color w:val="auto"/>
                <w:szCs w:val="21"/>
                <w:highlight w:val="none"/>
              </w:rPr>
            </w:pPr>
            <w:r>
              <w:rPr>
                <w:rFonts w:hint="eastAsia" w:ascii="宋体" w:hAnsi="宋体"/>
                <w:color w:val="auto"/>
                <w:szCs w:val="21"/>
                <w:highlight w:val="none"/>
              </w:rPr>
              <w:t>查询记录和证据留存方式：在查询网站中直接打印查询记录，打印材料作为评审资料保存。</w:t>
            </w:r>
          </w:p>
          <w:p w14:paraId="64AA3314">
            <w:pPr>
              <w:shd w:val="clear"/>
              <w:spacing w:line="360" w:lineRule="auto"/>
              <w:rPr>
                <w:rFonts w:hint="eastAsia" w:ascii="宋体" w:hAnsi="宋体"/>
                <w:b/>
                <w:color w:val="auto"/>
                <w:szCs w:val="21"/>
                <w:highlight w:val="none"/>
              </w:rPr>
            </w:pPr>
            <w:r>
              <w:rPr>
                <w:rFonts w:hint="eastAsia" w:ascii="宋体" w:hAnsi="宋体"/>
                <w:color w:val="auto"/>
                <w:szCs w:val="21"/>
                <w:highlight w:val="none"/>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招标人或者采购代理机构</w:t>
            </w:r>
            <w:r>
              <w:rPr>
                <w:rFonts w:hint="eastAsia"/>
                <w:color w:val="auto"/>
                <w:szCs w:val="21"/>
                <w:highlight w:val="none"/>
              </w:rPr>
              <w:t>应当拒绝其参与政府采购活动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p>
        </w:tc>
      </w:tr>
      <w:tr w14:paraId="543719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0C61927C">
            <w:pPr>
              <w:shd w:val="clear"/>
              <w:spacing w:line="360" w:lineRule="auto"/>
              <w:jc w:val="center"/>
              <w:rPr>
                <w:rFonts w:hint="eastAsia" w:ascii="宋体" w:hAnsi="宋体"/>
                <w:color w:val="auto"/>
                <w:szCs w:val="21"/>
                <w:highlight w:val="none"/>
              </w:rPr>
            </w:pPr>
            <w:bookmarkStart w:id="74" w:name="_26"/>
            <w:bookmarkEnd w:id="74"/>
            <w:r>
              <w:rPr>
                <w:rFonts w:hint="eastAsia" w:ascii="宋体" w:hAnsi="宋体"/>
                <w:color w:val="auto"/>
                <w:szCs w:val="21"/>
                <w:highlight w:val="none"/>
              </w:rPr>
              <w:t>26</w:t>
            </w:r>
          </w:p>
        </w:tc>
        <w:tc>
          <w:tcPr>
            <w:tcW w:w="4483" w:type="pct"/>
            <w:tcBorders>
              <w:top w:val="single" w:color="auto" w:sz="4" w:space="0"/>
              <w:left w:val="single" w:color="auto" w:sz="4" w:space="0"/>
              <w:bottom w:val="single" w:color="auto" w:sz="4" w:space="0"/>
              <w:right w:val="single" w:color="auto" w:sz="4" w:space="0"/>
            </w:tcBorders>
            <w:vAlign w:val="center"/>
          </w:tcPr>
          <w:p w14:paraId="4B6777CC">
            <w:pPr>
              <w:shd w:val="clear"/>
              <w:autoSpaceDE w:val="0"/>
              <w:autoSpaceDN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评标委员会的人数：</w:t>
            </w:r>
            <w:r>
              <w:rPr>
                <w:rFonts w:hint="eastAsia" w:ascii="宋体" w:hAnsi="宋体"/>
                <w:color w:val="auto"/>
                <w:szCs w:val="21"/>
                <w:highlight w:val="none"/>
                <w:lang w:val="en-US" w:eastAsia="zh-CN"/>
              </w:rPr>
              <w:t>5</w:t>
            </w:r>
            <w:r>
              <w:rPr>
                <w:rFonts w:hint="eastAsia" w:ascii="宋体" w:hAnsi="宋体"/>
                <w:color w:val="auto"/>
                <w:szCs w:val="21"/>
                <w:highlight w:val="none"/>
              </w:rPr>
              <w:t>人或以上单数</w:t>
            </w:r>
          </w:p>
        </w:tc>
      </w:tr>
      <w:tr w14:paraId="45CEFE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22FAB0A7">
            <w:pPr>
              <w:shd w:val="clear"/>
              <w:spacing w:line="360" w:lineRule="auto"/>
              <w:jc w:val="center"/>
              <w:rPr>
                <w:rFonts w:hint="eastAsia" w:ascii="宋体" w:hAnsi="宋体"/>
                <w:color w:val="auto"/>
                <w:szCs w:val="21"/>
                <w:highlight w:val="none"/>
              </w:rPr>
            </w:pPr>
            <w:bookmarkStart w:id="75" w:name="_28.3"/>
            <w:bookmarkEnd w:id="75"/>
            <w:r>
              <w:rPr>
                <w:rFonts w:ascii="宋体" w:hAnsi="宋体"/>
                <w:color w:val="auto"/>
                <w:szCs w:val="21"/>
                <w:highlight w:val="none"/>
              </w:rPr>
              <w:t>29.1</w:t>
            </w:r>
          </w:p>
        </w:tc>
        <w:tc>
          <w:tcPr>
            <w:tcW w:w="4483" w:type="pct"/>
            <w:tcBorders>
              <w:top w:val="single" w:color="auto" w:sz="4" w:space="0"/>
              <w:left w:val="single" w:color="auto" w:sz="4" w:space="0"/>
              <w:bottom w:val="single" w:color="auto" w:sz="4" w:space="0"/>
              <w:right w:val="single" w:color="auto" w:sz="4" w:space="0"/>
            </w:tcBorders>
            <w:vAlign w:val="center"/>
          </w:tcPr>
          <w:p w14:paraId="2754ADC2">
            <w:pPr>
              <w:shd w:val="clear"/>
              <w:autoSpaceDE w:val="0"/>
              <w:autoSpaceDN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评标方法：</w:t>
            </w:r>
          </w:p>
          <w:p w14:paraId="38531A33">
            <w:pPr>
              <w:shd w:val="clear"/>
              <w:autoSpaceDE w:val="0"/>
              <w:autoSpaceDN w:val="0"/>
              <w:spacing w:line="360" w:lineRule="auto"/>
              <w:textAlignment w:val="bottom"/>
              <w:rPr>
                <w:rFonts w:hint="eastAsia" w:ascii="宋体" w:hAnsi="宋体"/>
                <w:b/>
                <w:color w:val="auto"/>
                <w:szCs w:val="21"/>
                <w:highlight w:val="none"/>
              </w:rPr>
            </w:pPr>
            <w:r>
              <w:rPr>
                <w:rFonts w:hint="eastAsia" w:ascii="宋体" w:hAnsi="宋体"/>
                <w:b/>
                <w:color w:val="auto"/>
                <w:szCs w:val="21"/>
                <w:highlight w:val="none"/>
              </w:rPr>
              <w:t>√综合评分法</w:t>
            </w:r>
          </w:p>
          <w:p w14:paraId="75F3D55A">
            <w:pPr>
              <w:shd w:val="clear"/>
              <w:autoSpaceDE w:val="0"/>
              <w:autoSpaceDN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□最低评标报价法</w:t>
            </w:r>
          </w:p>
        </w:tc>
      </w:tr>
      <w:tr w14:paraId="3ED82D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54CD15B4">
            <w:pPr>
              <w:shd w:val="clear"/>
              <w:spacing w:line="360" w:lineRule="auto"/>
              <w:jc w:val="center"/>
              <w:rPr>
                <w:rFonts w:hint="eastAsia" w:ascii="宋体" w:hAnsi="宋体"/>
                <w:color w:val="auto"/>
                <w:szCs w:val="21"/>
                <w:highlight w:val="none"/>
              </w:rPr>
            </w:pPr>
            <w:bookmarkStart w:id="76" w:name="_29.2.2（2）"/>
            <w:bookmarkEnd w:id="76"/>
            <w:r>
              <w:rPr>
                <w:rFonts w:hint="eastAsia" w:ascii="宋体" w:hAnsi="宋体"/>
                <w:color w:val="auto"/>
                <w:szCs w:val="21"/>
                <w:highlight w:val="none"/>
              </w:rPr>
              <w:t>30</w:t>
            </w:r>
            <w:r>
              <w:rPr>
                <w:rFonts w:ascii="宋体" w:hAnsi="宋体"/>
                <w:color w:val="auto"/>
                <w:szCs w:val="21"/>
                <w:highlight w:val="none"/>
              </w:rPr>
              <w:t>.1</w:t>
            </w:r>
          </w:p>
        </w:tc>
        <w:tc>
          <w:tcPr>
            <w:tcW w:w="4483" w:type="pct"/>
            <w:tcBorders>
              <w:top w:val="single" w:color="auto" w:sz="4" w:space="0"/>
              <w:left w:val="single" w:color="auto" w:sz="4" w:space="0"/>
              <w:bottom w:val="single" w:color="auto" w:sz="4" w:space="0"/>
              <w:right w:val="single" w:color="auto" w:sz="4" w:space="0"/>
            </w:tcBorders>
            <w:vAlign w:val="center"/>
          </w:tcPr>
          <w:p w14:paraId="6BE6F02D">
            <w:pPr>
              <w:shd w:val="clear"/>
              <w:autoSpaceDE w:val="0"/>
              <w:autoSpaceDN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采用综合评分法的采购项目，招标人确定中标人时，出现中标候选人并列的情形，招标人按以下的方式确定中标人：</w:t>
            </w:r>
          </w:p>
          <w:p w14:paraId="32ED84C3">
            <w:pPr>
              <w:shd w:val="clear"/>
              <w:autoSpaceDE w:val="0"/>
              <w:autoSpaceDN w:val="0"/>
              <w:spacing w:line="360" w:lineRule="auto"/>
              <w:textAlignment w:val="bottom"/>
              <w:rPr>
                <w:rFonts w:hint="eastAsia" w:ascii="宋体" w:hAnsi="宋体"/>
                <w:b/>
                <w:color w:val="auto"/>
                <w:szCs w:val="21"/>
                <w:highlight w:val="none"/>
              </w:rPr>
            </w:pPr>
            <w:r>
              <w:rPr>
                <w:rFonts w:hint="eastAsia" w:ascii="宋体" w:hAnsi="宋体"/>
                <w:b/>
                <w:color w:val="auto"/>
                <w:szCs w:val="21"/>
                <w:highlight w:val="none"/>
              </w:rPr>
              <w:t>√依次按投标报价低的优先、技术评分高的优先、商务评分高的优先的顺序确定；</w:t>
            </w:r>
          </w:p>
          <w:p w14:paraId="53067E03">
            <w:pPr>
              <w:shd w:val="clear"/>
              <w:autoSpaceDE w:val="0"/>
              <w:autoSpaceDN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□随机抽取；</w:t>
            </w:r>
          </w:p>
        </w:tc>
      </w:tr>
      <w:tr w14:paraId="71BF31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16" w:type="pct"/>
            <w:tcBorders>
              <w:top w:val="single" w:color="auto" w:sz="4" w:space="0"/>
              <w:left w:val="single" w:color="auto" w:sz="4" w:space="0"/>
              <w:bottom w:val="single" w:color="auto" w:sz="4" w:space="0"/>
              <w:right w:val="single" w:color="auto" w:sz="4" w:space="0"/>
            </w:tcBorders>
            <w:vAlign w:val="center"/>
          </w:tcPr>
          <w:p w14:paraId="0E58A58E">
            <w:pPr>
              <w:shd w:val="clear"/>
              <w:spacing w:line="360" w:lineRule="auto"/>
              <w:jc w:val="center"/>
              <w:rPr>
                <w:rFonts w:hint="eastAsia" w:ascii="宋体" w:hAnsi="宋体"/>
                <w:color w:val="auto"/>
                <w:szCs w:val="21"/>
                <w:highlight w:val="none"/>
              </w:rPr>
            </w:pPr>
            <w:bookmarkStart w:id="77" w:name="_39.1"/>
            <w:bookmarkEnd w:id="77"/>
            <w:r>
              <w:rPr>
                <w:rFonts w:hint="eastAsia" w:ascii="宋体" w:hAnsi="宋体"/>
                <w:color w:val="auto"/>
                <w:szCs w:val="21"/>
                <w:highlight w:val="none"/>
              </w:rPr>
              <w:t>35</w:t>
            </w:r>
            <w:r>
              <w:rPr>
                <w:rFonts w:ascii="宋体" w:hAnsi="宋体"/>
                <w:color w:val="auto"/>
                <w:szCs w:val="21"/>
                <w:highlight w:val="none"/>
              </w:rPr>
              <w:t>.1</w:t>
            </w:r>
          </w:p>
        </w:tc>
        <w:tc>
          <w:tcPr>
            <w:tcW w:w="4483" w:type="pct"/>
            <w:tcBorders>
              <w:top w:val="single" w:color="auto" w:sz="4" w:space="0"/>
              <w:left w:val="single" w:color="auto" w:sz="4" w:space="0"/>
              <w:bottom w:val="single" w:color="auto" w:sz="4" w:space="0"/>
              <w:right w:val="single" w:color="auto" w:sz="4" w:space="0"/>
            </w:tcBorders>
            <w:vAlign w:val="center"/>
          </w:tcPr>
          <w:p w14:paraId="49BB16CB">
            <w:pPr>
              <w:shd w:val="clear"/>
              <w:spacing w:line="400" w:lineRule="exac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履约保证金金额：本项目采购预算金额的2%。</w:t>
            </w:r>
          </w:p>
          <w:p w14:paraId="7371C5A8">
            <w:pPr>
              <w:shd w:val="clear"/>
              <w:spacing w:line="400" w:lineRule="exac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履约保证金提交方式：支票、汇票、本票、银行转账或者金融机构、担保机构出具的保函等非现金形式。中标供应商在签订合同前足额提交履约保证金至采购人以下指定账户。</w:t>
            </w:r>
          </w:p>
          <w:p w14:paraId="0D9693B5">
            <w:pPr>
              <w:shd w:val="clear"/>
              <w:spacing w:line="400" w:lineRule="exac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履约保证金指定账户：</w:t>
            </w:r>
          </w:p>
          <w:p w14:paraId="7A70BF55">
            <w:pPr>
              <w:shd w:val="clear"/>
              <w:spacing w:line="400" w:lineRule="exac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开户名：广西医科大学附属武鸣医院 </w:t>
            </w:r>
          </w:p>
          <w:p w14:paraId="21E7C4F6">
            <w:pPr>
              <w:shd w:val="clear"/>
              <w:spacing w:line="400" w:lineRule="exac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开户行：中国工商银行股份有限公司南宁市武鸣支行 </w:t>
            </w:r>
          </w:p>
          <w:p w14:paraId="5CFFBBAC">
            <w:pPr>
              <w:shd w:val="clear"/>
              <w:spacing w:line="400" w:lineRule="exac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账  号：2102117009300236704</w:t>
            </w:r>
          </w:p>
          <w:p w14:paraId="51397790">
            <w:pPr>
              <w:shd w:val="clear"/>
              <w:spacing w:line="400" w:lineRule="exact"/>
              <w:rPr>
                <w:rFonts w:hint="default" w:ascii="宋体" w:hAnsi="宋体" w:cs="宋体"/>
                <w:color w:val="auto"/>
                <w:kern w:val="0"/>
                <w:szCs w:val="21"/>
                <w:highlight w:val="none"/>
                <w:lang w:val="en-US"/>
              </w:rPr>
            </w:pPr>
            <w:r>
              <w:rPr>
                <w:rFonts w:hint="eastAsia" w:ascii="宋体" w:hAnsi="宋体" w:cs="宋体"/>
                <w:color w:val="auto"/>
                <w:szCs w:val="21"/>
                <w:highlight w:val="none"/>
                <w:lang w:val="en-US" w:eastAsia="zh-CN"/>
              </w:rPr>
              <w:t>履约保证金退付方式、时间及条件：服务期结束后中标供应商无违约问题的，由中标供应商向采购人提供项目履约保证金退付申请，采购人在收到合格材料（包括履约保证金退付意见书、验收报告、退付申请函、合同、履约保证金缴纳凭证等）后进行核对，如有违约或赔偿的，涉及违约的违约金和损失赔偿从履约保证金中扣减后，采购人审核后30日内转账退还（无息）。</w:t>
            </w:r>
          </w:p>
        </w:tc>
      </w:tr>
      <w:tr w14:paraId="580582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5C5BB8E8">
            <w:pPr>
              <w:shd w:val="clear"/>
              <w:spacing w:line="360" w:lineRule="auto"/>
              <w:jc w:val="center"/>
              <w:rPr>
                <w:rFonts w:hint="eastAsia" w:ascii="宋体" w:hAnsi="宋体"/>
                <w:color w:val="auto"/>
                <w:szCs w:val="21"/>
                <w:highlight w:val="none"/>
              </w:rPr>
            </w:pPr>
            <w:bookmarkStart w:id="78" w:name="_40.1"/>
            <w:bookmarkEnd w:id="78"/>
            <w:r>
              <w:rPr>
                <w:rFonts w:hint="eastAsia" w:ascii="宋体" w:hAnsi="宋体"/>
                <w:color w:val="auto"/>
                <w:szCs w:val="21"/>
                <w:highlight w:val="none"/>
              </w:rPr>
              <w:t>36.1</w:t>
            </w:r>
          </w:p>
        </w:tc>
        <w:tc>
          <w:tcPr>
            <w:tcW w:w="4483" w:type="pct"/>
            <w:tcBorders>
              <w:top w:val="single" w:color="auto" w:sz="4" w:space="0"/>
              <w:left w:val="single" w:color="auto" w:sz="4" w:space="0"/>
              <w:bottom w:val="single" w:color="auto" w:sz="4" w:space="0"/>
              <w:right w:val="single" w:color="auto" w:sz="4" w:space="0"/>
            </w:tcBorders>
            <w:vAlign w:val="center"/>
          </w:tcPr>
          <w:p w14:paraId="212BDA1F">
            <w:pPr>
              <w:shd w:val="clear"/>
              <w:autoSpaceDE w:val="0"/>
              <w:autoSpaceDN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005DE765">
            <w:pPr>
              <w:shd w:val="clear"/>
              <w:autoSpaceDE w:val="0"/>
              <w:autoSpaceDN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46DC91A6">
            <w:pPr>
              <w:shd w:val="clear"/>
              <w:autoSpaceDE w:val="0"/>
              <w:autoSpaceDN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77C7C6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42030CAE">
            <w:pPr>
              <w:shd w:val="clea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8.2</w:t>
            </w:r>
          </w:p>
        </w:tc>
        <w:tc>
          <w:tcPr>
            <w:tcW w:w="4483" w:type="pct"/>
            <w:tcBorders>
              <w:top w:val="single" w:color="auto" w:sz="4" w:space="0"/>
              <w:left w:val="single" w:color="auto" w:sz="4" w:space="0"/>
              <w:bottom w:val="single" w:color="auto" w:sz="4" w:space="0"/>
              <w:right w:val="single" w:color="auto" w:sz="4" w:space="0"/>
            </w:tcBorders>
            <w:vAlign w:val="center"/>
          </w:tcPr>
          <w:p w14:paraId="6CFD1EEC">
            <w:pPr>
              <w:shd w:val="clear"/>
              <w:spacing w:line="360" w:lineRule="auto"/>
              <w:rPr>
                <w:rFonts w:hint="eastAsia" w:ascii="宋体" w:hAnsi="宋体"/>
                <w:color w:val="auto"/>
                <w:szCs w:val="21"/>
                <w:highlight w:val="none"/>
              </w:rPr>
            </w:pPr>
            <w:r>
              <w:rPr>
                <w:rFonts w:hint="eastAsia" w:ascii="宋体" w:hAnsi="宋体"/>
                <w:color w:val="auto"/>
                <w:szCs w:val="21"/>
                <w:highlight w:val="none"/>
              </w:rPr>
              <w:t>接收质疑函方式：</w:t>
            </w:r>
            <w:r>
              <w:rPr>
                <w:rFonts w:hint="eastAsia"/>
                <w:color w:val="auto"/>
                <w:szCs w:val="21"/>
                <w:highlight w:val="none"/>
              </w:rPr>
              <w:t>以书面形式</w:t>
            </w:r>
          </w:p>
          <w:p w14:paraId="76E7D459">
            <w:pPr>
              <w:shd w:val="clear"/>
              <w:spacing w:line="360" w:lineRule="auto"/>
              <w:rPr>
                <w:rFonts w:hint="eastAsia" w:ascii="宋体" w:hAnsi="宋体"/>
                <w:color w:val="auto"/>
                <w:szCs w:val="21"/>
                <w:highlight w:val="none"/>
              </w:rPr>
            </w:pPr>
            <w:r>
              <w:rPr>
                <w:rFonts w:hint="eastAsia" w:ascii="宋体" w:hAnsi="宋体"/>
                <w:color w:val="auto"/>
                <w:szCs w:val="21"/>
                <w:highlight w:val="none"/>
              </w:rPr>
              <w:t>质疑联系部门及联系方式：华采招标集团有限公司</w:t>
            </w:r>
          </w:p>
          <w:p w14:paraId="71B78B61">
            <w:pPr>
              <w:shd w:val="clear"/>
              <w:spacing w:line="360" w:lineRule="auto"/>
              <w:rPr>
                <w:rFonts w:hint="eastAsia" w:ascii="宋体" w:hAnsi="宋体"/>
                <w:color w:val="auto"/>
                <w:szCs w:val="21"/>
                <w:highlight w:val="none"/>
              </w:rPr>
            </w:pPr>
            <w:r>
              <w:rPr>
                <w:rFonts w:hint="eastAsia" w:ascii="宋体" w:hAnsi="宋体"/>
                <w:color w:val="auto"/>
                <w:szCs w:val="21"/>
                <w:highlight w:val="none"/>
              </w:rPr>
              <w:t>联系电话：0771-4308717，</w:t>
            </w:r>
          </w:p>
          <w:p w14:paraId="15B4E151">
            <w:pPr>
              <w:shd w:val="clear"/>
              <w:spacing w:line="360" w:lineRule="auto"/>
              <w:rPr>
                <w:rFonts w:hint="eastAsia" w:ascii="宋体" w:hAnsi="宋体"/>
                <w:color w:val="auto"/>
                <w:szCs w:val="21"/>
                <w:highlight w:val="none"/>
              </w:rPr>
            </w:pPr>
            <w:r>
              <w:rPr>
                <w:rFonts w:hint="eastAsia" w:ascii="宋体" w:hAnsi="宋体"/>
                <w:color w:val="auto"/>
                <w:szCs w:val="21"/>
                <w:highlight w:val="none"/>
              </w:rPr>
              <w:t>通讯地址：南宁市良庆区平乐大道21号广西路桥集团总部大厦主楼十七层1708号办公室</w:t>
            </w:r>
          </w:p>
          <w:p w14:paraId="37066598">
            <w:pPr>
              <w:shd w:val="clear"/>
              <w:spacing w:line="360" w:lineRule="auto"/>
              <w:rPr>
                <w:rFonts w:hint="eastAsia" w:ascii="宋体" w:hAnsi="宋体"/>
                <w:color w:val="auto"/>
                <w:szCs w:val="21"/>
                <w:highlight w:val="none"/>
              </w:rPr>
            </w:pPr>
            <w:r>
              <w:rPr>
                <w:rFonts w:hint="eastAsia" w:hAnsi="宋体"/>
                <w:color w:val="auto"/>
                <w:szCs w:val="21"/>
                <w:highlight w:val="none"/>
              </w:rPr>
              <w:t>现场提交质疑办理业务时间：</w:t>
            </w:r>
            <w:r>
              <w:rPr>
                <w:rFonts w:hint="eastAsia" w:ascii="宋体" w:hAnsi="宋体"/>
                <w:color w:val="auto"/>
                <w:szCs w:val="21"/>
                <w:highlight w:val="none"/>
              </w:rPr>
              <w:t>每天上午8:30至12:00，下午15:00至18:00（北京时间，法定节假日除外）。</w:t>
            </w:r>
          </w:p>
        </w:tc>
      </w:tr>
      <w:tr w14:paraId="197E0B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328B25F8">
            <w:pPr>
              <w:shd w:val="clear"/>
              <w:spacing w:line="360" w:lineRule="auto"/>
              <w:jc w:val="center"/>
              <w:rPr>
                <w:rFonts w:hint="eastAsia" w:ascii="宋体" w:hAnsi="宋体"/>
                <w:color w:val="auto"/>
                <w:szCs w:val="21"/>
                <w:highlight w:val="none"/>
              </w:rPr>
            </w:pPr>
            <w:bookmarkStart w:id="79" w:name="_41"/>
            <w:bookmarkEnd w:id="79"/>
            <w:bookmarkStart w:id="80" w:name="_42"/>
            <w:bookmarkEnd w:id="80"/>
            <w:r>
              <w:rPr>
                <w:rFonts w:hint="eastAsia" w:ascii="宋体" w:hAnsi="宋体"/>
                <w:color w:val="auto"/>
                <w:szCs w:val="21"/>
                <w:highlight w:val="none"/>
              </w:rPr>
              <w:t>40</w:t>
            </w:r>
          </w:p>
        </w:tc>
        <w:tc>
          <w:tcPr>
            <w:tcW w:w="4483" w:type="pct"/>
            <w:tcBorders>
              <w:top w:val="single" w:color="auto" w:sz="4" w:space="0"/>
              <w:left w:val="single" w:color="auto" w:sz="4" w:space="0"/>
              <w:bottom w:val="single" w:color="auto" w:sz="4" w:space="0"/>
              <w:right w:val="single" w:color="auto" w:sz="4" w:space="0"/>
            </w:tcBorders>
            <w:vAlign w:val="center"/>
          </w:tcPr>
          <w:p w14:paraId="75A58B41">
            <w:pPr>
              <w:pStyle w:val="26"/>
              <w:shd w:val="clear"/>
              <w:spacing w:line="360" w:lineRule="auto"/>
              <w:rPr>
                <w:rFonts w:hint="eastAsia" w:hAnsi="宋体" w:cs="宋体"/>
                <w:color w:val="auto"/>
                <w:sz w:val="21"/>
                <w:highlight w:val="none"/>
              </w:rPr>
            </w:pPr>
            <w:r>
              <w:rPr>
                <w:rFonts w:hint="eastAsia" w:hAnsi="宋体" w:cs="宋体"/>
                <w:color w:val="auto"/>
                <w:sz w:val="21"/>
                <w:highlight w:val="none"/>
              </w:rPr>
              <w:t>1.采购代理费支付方式：</w:t>
            </w:r>
          </w:p>
          <w:p w14:paraId="1CD98B4D">
            <w:pPr>
              <w:pStyle w:val="26"/>
              <w:shd w:val="clear"/>
              <w:spacing w:line="360" w:lineRule="auto"/>
              <w:rPr>
                <w:rFonts w:hint="eastAsia" w:hAnsi="宋体" w:cs="宋体"/>
                <w:color w:val="auto"/>
                <w:sz w:val="21"/>
                <w:highlight w:val="none"/>
              </w:rPr>
            </w:pPr>
            <w:r>
              <w:rPr>
                <w:rFonts w:hint="eastAsia" w:hAnsi="宋体"/>
                <w:b/>
                <w:color w:val="auto"/>
                <w:sz w:val="21"/>
                <w:highlight w:val="none"/>
              </w:rPr>
              <w:t>√</w:t>
            </w:r>
            <w:r>
              <w:rPr>
                <w:rFonts w:hint="eastAsia" w:hAnsi="宋体" w:cs="宋体"/>
                <w:b/>
                <w:color w:val="auto"/>
                <w:sz w:val="21"/>
                <w:highlight w:val="none"/>
              </w:rPr>
              <w:t>本项目代理服务费由</w:t>
            </w:r>
            <w:r>
              <w:rPr>
                <w:rFonts w:hint="eastAsia" w:hAnsi="宋体" w:cs="宋体"/>
                <w:b/>
                <w:color w:val="auto"/>
                <w:sz w:val="21"/>
                <w:highlight w:val="none"/>
                <w:u w:val="single"/>
              </w:rPr>
              <w:t>中标人</w:t>
            </w:r>
            <w:r>
              <w:rPr>
                <w:rFonts w:hint="eastAsia" w:hAnsi="宋体" w:cs="宋体"/>
                <w:b/>
                <w:color w:val="auto"/>
                <w:sz w:val="21"/>
                <w:highlight w:val="none"/>
              </w:rPr>
              <w:t>一次性向采购代理机构支付</w:t>
            </w:r>
            <w:r>
              <w:rPr>
                <w:rFonts w:hint="eastAsia" w:hAnsi="宋体" w:cs="宋体"/>
                <w:color w:val="auto"/>
                <w:sz w:val="21"/>
                <w:highlight w:val="none"/>
              </w:rPr>
              <w:t>。</w:t>
            </w:r>
          </w:p>
          <w:p w14:paraId="604865CC">
            <w:pPr>
              <w:pStyle w:val="26"/>
              <w:shd w:val="clear"/>
              <w:spacing w:line="360" w:lineRule="auto"/>
              <w:rPr>
                <w:rFonts w:hint="eastAsia" w:hAnsi="宋体" w:cs="宋体"/>
                <w:color w:val="auto"/>
                <w:sz w:val="21"/>
                <w:highlight w:val="none"/>
              </w:rPr>
            </w:pPr>
            <w:r>
              <w:rPr>
                <w:rFonts w:hint="eastAsia" w:hAnsi="宋体" w:cs="宋体"/>
                <w:color w:val="auto"/>
                <w:sz w:val="21"/>
                <w:highlight w:val="none"/>
              </w:rPr>
              <w:t>□招标人支付。</w:t>
            </w:r>
          </w:p>
          <w:p w14:paraId="442A3C71">
            <w:pPr>
              <w:pStyle w:val="26"/>
              <w:shd w:val="clear"/>
              <w:spacing w:line="360" w:lineRule="auto"/>
              <w:rPr>
                <w:rFonts w:hint="eastAsia" w:hAnsi="宋体" w:cs="宋体"/>
                <w:color w:val="auto"/>
                <w:sz w:val="21"/>
                <w:highlight w:val="none"/>
              </w:rPr>
            </w:pPr>
            <w:r>
              <w:rPr>
                <w:rFonts w:hint="eastAsia" w:hAnsi="宋体" w:cs="宋体"/>
                <w:color w:val="auto"/>
                <w:sz w:val="21"/>
                <w:highlight w:val="none"/>
              </w:rPr>
              <w:t>2.采购代理费收取标准：</w:t>
            </w:r>
          </w:p>
          <w:p w14:paraId="14A9DB3F">
            <w:pPr>
              <w:pStyle w:val="26"/>
              <w:shd w:val="clear"/>
              <w:spacing w:line="360" w:lineRule="auto"/>
              <w:rPr>
                <w:rFonts w:hint="eastAsia" w:hAnsi="宋体" w:cs="宋体"/>
                <w:color w:val="auto"/>
                <w:sz w:val="21"/>
                <w:highlight w:val="none"/>
              </w:rPr>
            </w:pPr>
            <w:r>
              <w:rPr>
                <w:rFonts w:hint="eastAsia" w:hAnsi="宋体"/>
                <w:b/>
                <w:color w:val="auto"/>
                <w:sz w:val="21"/>
                <w:highlight w:val="none"/>
              </w:rPr>
              <w:t>√</w:t>
            </w:r>
            <w:r>
              <w:rPr>
                <w:rFonts w:hint="eastAsia" w:hAnsi="宋体" w:cs="宋体"/>
                <w:color w:val="auto"/>
                <w:sz w:val="21"/>
                <w:highlight w:val="none"/>
              </w:rPr>
              <w:t>以分标（</w:t>
            </w:r>
            <w:r>
              <w:rPr>
                <w:rFonts w:hint="eastAsia" w:hAnsi="宋体" w:cs="宋体"/>
                <w:color w:val="auto"/>
                <w:sz w:val="21"/>
                <w:highlight w:val="none"/>
                <w:lang w:eastAsia="zh-CN"/>
              </w:rPr>
              <w:t>□</w:t>
            </w:r>
            <w:r>
              <w:rPr>
                <w:rFonts w:hint="eastAsia" w:hAnsi="宋体" w:cs="宋体"/>
                <w:color w:val="auto"/>
                <w:sz w:val="21"/>
                <w:highlight w:val="none"/>
              </w:rPr>
              <w:t>中标金额/</w:t>
            </w:r>
            <w:r>
              <w:rPr>
                <w:rFonts w:hint="eastAsia" w:hAnsi="宋体" w:cs="宋体"/>
                <w:color w:val="auto"/>
                <w:sz w:val="21"/>
                <w:highlight w:val="none"/>
                <w:lang w:eastAsia="zh-CN"/>
              </w:rPr>
              <w:t>☑</w:t>
            </w:r>
            <w:r>
              <w:rPr>
                <w:rFonts w:hint="eastAsia" w:hAnsi="宋体" w:cs="宋体"/>
                <w:color w:val="auto"/>
                <w:sz w:val="21"/>
                <w:highlight w:val="none"/>
              </w:rPr>
              <w:t>采购预算/□暂定中标金额/□其他</w:t>
            </w:r>
            <w:r>
              <w:rPr>
                <w:rFonts w:hint="eastAsia" w:hAnsi="宋体" w:cs="宋体"/>
                <w:color w:val="auto"/>
                <w:sz w:val="21"/>
                <w:highlight w:val="none"/>
                <w:u w:val="single"/>
              </w:rPr>
              <w:t xml:space="preserve"> </w:t>
            </w:r>
            <w:r>
              <w:rPr>
                <w:rFonts w:hAnsi="宋体" w:cs="宋体"/>
                <w:color w:val="auto"/>
                <w:sz w:val="21"/>
                <w:highlight w:val="none"/>
                <w:u w:val="single"/>
              </w:rPr>
              <w:t xml:space="preserve">  </w:t>
            </w:r>
            <w:r>
              <w:rPr>
                <w:rFonts w:hint="eastAsia" w:hAnsi="宋体" w:cs="宋体"/>
                <w:color w:val="auto"/>
                <w:sz w:val="21"/>
                <w:highlight w:val="none"/>
              </w:rPr>
              <w:t>）为计费额，按本须知正文第</w:t>
            </w:r>
            <w:r>
              <w:rPr>
                <w:rFonts w:hAnsi="宋体" w:cs="宋体"/>
                <w:color w:val="auto"/>
                <w:sz w:val="21"/>
                <w:highlight w:val="none"/>
              </w:rPr>
              <w:t>39</w:t>
            </w:r>
            <w:r>
              <w:rPr>
                <w:rFonts w:hint="eastAsia" w:hAnsi="宋体" w:cs="宋体"/>
                <w:color w:val="auto"/>
                <w:sz w:val="21"/>
                <w:highlight w:val="none"/>
              </w:rPr>
              <w:t>.</w:t>
            </w:r>
            <w:r>
              <w:rPr>
                <w:rFonts w:hAnsi="宋体" w:cs="宋体"/>
                <w:color w:val="auto"/>
                <w:sz w:val="21"/>
                <w:highlight w:val="none"/>
              </w:rPr>
              <w:t>2</w:t>
            </w:r>
            <w:r>
              <w:rPr>
                <w:rFonts w:hint="eastAsia" w:hAnsi="宋体" w:cs="宋体"/>
                <w:color w:val="auto"/>
                <w:sz w:val="21"/>
                <w:highlight w:val="none"/>
              </w:rPr>
              <w:t>条规定的收费计算标准（</w:t>
            </w:r>
            <w:r>
              <w:rPr>
                <w:rFonts w:hint="eastAsia" w:hAnsi="宋体"/>
                <w:bCs/>
                <w:color w:val="auto"/>
                <w:sz w:val="21"/>
                <w:highlight w:val="none"/>
              </w:rPr>
              <w:t>□</w:t>
            </w:r>
            <w:r>
              <w:rPr>
                <w:rFonts w:hint="eastAsia" w:hAnsi="宋体" w:cs="宋体"/>
                <w:color w:val="auto"/>
                <w:sz w:val="21"/>
                <w:highlight w:val="none"/>
              </w:rPr>
              <w:t>货物招标/</w:t>
            </w:r>
            <w:r>
              <w:rPr>
                <w:rFonts w:hint="eastAsia" w:hAnsi="宋体" w:cs="宋体"/>
                <w:color w:val="auto"/>
                <w:sz w:val="21"/>
                <w:highlight w:val="none"/>
              </w:rPr>
              <w:sym w:font="Wingdings 2" w:char="0052"/>
            </w:r>
            <w:r>
              <w:rPr>
                <w:rFonts w:hint="eastAsia" w:hAnsi="宋体" w:cs="宋体"/>
                <w:color w:val="auto"/>
                <w:sz w:val="21"/>
                <w:highlight w:val="none"/>
              </w:rPr>
              <w:t>服务招标/□工程招标）采用差额定率累进法计算出收费基准价格，采购代理收费以（</w:t>
            </w:r>
            <w:r>
              <w:rPr>
                <w:rFonts w:hint="eastAsia" w:hAnsi="宋体" w:cs="宋体"/>
                <w:color w:val="auto"/>
                <w:sz w:val="21"/>
                <w:highlight w:val="none"/>
              </w:rPr>
              <w:sym w:font="Wingdings 2" w:char="00A3"/>
            </w:r>
            <w:r>
              <w:rPr>
                <w:rFonts w:hint="eastAsia" w:hAnsi="宋体" w:cs="宋体"/>
                <w:color w:val="auto"/>
                <w:sz w:val="21"/>
                <w:highlight w:val="none"/>
              </w:rPr>
              <w:t>收费基准价格/☑收费基准价格下浮</w:t>
            </w:r>
            <w:r>
              <w:rPr>
                <w:rFonts w:hint="eastAsia" w:hAnsi="宋体" w:cs="宋体"/>
                <w:color w:val="auto"/>
                <w:sz w:val="21"/>
                <w:highlight w:val="none"/>
                <w:u w:val="single"/>
                <w:lang w:val="en-US" w:eastAsia="zh-CN"/>
              </w:rPr>
              <w:t>20</w:t>
            </w:r>
            <w:r>
              <w:rPr>
                <w:rFonts w:hint="eastAsia" w:hAnsi="宋体" w:cs="宋体"/>
                <w:color w:val="auto"/>
                <w:sz w:val="21"/>
                <w:highlight w:val="none"/>
                <w:u w:val="single"/>
              </w:rPr>
              <w:t>%</w:t>
            </w:r>
            <w:r>
              <w:rPr>
                <w:rFonts w:hAnsi="宋体" w:cs="宋体"/>
                <w:color w:val="auto"/>
                <w:sz w:val="21"/>
                <w:highlight w:val="none"/>
              </w:rPr>
              <w:t>/</w:t>
            </w:r>
            <w:r>
              <w:rPr>
                <w:rFonts w:hint="eastAsia" w:hAnsi="宋体" w:cs="宋体"/>
                <w:color w:val="auto"/>
                <w:sz w:val="21"/>
                <w:highlight w:val="none"/>
              </w:rPr>
              <w:t>□收费基准价格上浮</w:t>
            </w:r>
            <w:r>
              <w:rPr>
                <w:rFonts w:hint="eastAsia" w:hAnsi="宋体" w:cs="宋体"/>
                <w:color w:val="auto"/>
                <w:sz w:val="21"/>
                <w:highlight w:val="none"/>
                <w:u w:val="single"/>
              </w:rPr>
              <w:t xml:space="preserve"> </w:t>
            </w:r>
            <w:r>
              <w:rPr>
                <w:rFonts w:hAnsi="宋体" w:cs="宋体"/>
                <w:color w:val="auto"/>
                <w:sz w:val="21"/>
                <w:highlight w:val="none"/>
                <w:u w:val="single"/>
              </w:rPr>
              <w:t xml:space="preserve">  </w:t>
            </w:r>
            <w:r>
              <w:rPr>
                <w:rFonts w:hint="eastAsia" w:hAnsi="宋体" w:cs="宋体"/>
                <w:color w:val="auto"/>
                <w:sz w:val="21"/>
                <w:highlight w:val="none"/>
                <w:u w:val="single"/>
              </w:rPr>
              <w:t>%</w:t>
            </w:r>
            <w:r>
              <w:rPr>
                <w:rFonts w:hint="eastAsia" w:hAnsi="宋体" w:cs="宋体"/>
                <w:color w:val="auto"/>
                <w:sz w:val="21"/>
                <w:highlight w:val="none"/>
              </w:rPr>
              <w:t>）收取。</w:t>
            </w:r>
          </w:p>
          <w:p w14:paraId="2F04ED70">
            <w:pPr>
              <w:pStyle w:val="26"/>
              <w:shd w:val="clear"/>
              <w:spacing w:line="360" w:lineRule="auto"/>
              <w:rPr>
                <w:rFonts w:hint="eastAsia" w:hAnsi="宋体" w:cs="宋体"/>
                <w:color w:val="auto"/>
                <w:sz w:val="21"/>
                <w:highlight w:val="none"/>
                <w:u w:val="single"/>
              </w:rPr>
            </w:pPr>
            <w:r>
              <w:rPr>
                <w:rFonts w:hint="eastAsia" w:hAnsi="宋体" w:cs="宋体"/>
                <w:color w:val="auto"/>
                <w:sz w:val="21"/>
                <w:highlight w:val="none"/>
              </w:rPr>
              <w:t>□固定采购代理收费</w:t>
            </w:r>
            <w:r>
              <w:rPr>
                <w:rFonts w:hint="eastAsia" w:hAnsi="宋体" w:cs="宋体"/>
                <w:color w:val="auto"/>
                <w:sz w:val="21"/>
                <w:highlight w:val="none"/>
                <w:u w:val="single"/>
              </w:rPr>
              <w:t xml:space="preserve">              。</w:t>
            </w:r>
          </w:p>
          <w:p w14:paraId="535C5B11">
            <w:pPr>
              <w:pStyle w:val="26"/>
              <w:shd w:val="clear"/>
              <w:spacing w:line="360" w:lineRule="auto"/>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w:t>
            </w:r>
            <w:r>
              <w:rPr>
                <w:rFonts w:hint="eastAsia"/>
                <w:color w:val="auto"/>
                <w:sz w:val="21"/>
                <w:highlight w:val="none"/>
              </w:rPr>
              <w:t xml:space="preserve"> </w:t>
            </w:r>
            <w:r>
              <w:rPr>
                <w:rFonts w:hint="eastAsia" w:hAnsi="宋体" w:cs="宋体"/>
                <w:color w:val="auto"/>
                <w:sz w:val="21"/>
                <w:highlight w:val="none"/>
              </w:rPr>
              <w:t>开户名称：华采招标集团有限公司广西分公司</w:t>
            </w:r>
          </w:p>
          <w:p w14:paraId="50FAD754">
            <w:pPr>
              <w:pStyle w:val="26"/>
              <w:shd w:val="clear"/>
              <w:spacing w:line="360" w:lineRule="auto"/>
              <w:rPr>
                <w:rFonts w:hint="eastAsia" w:hAnsi="宋体" w:cs="宋体"/>
                <w:color w:val="auto"/>
                <w:sz w:val="21"/>
                <w:highlight w:val="none"/>
              </w:rPr>
            </w:pPr>
            <w:r>
              <w:rPr>
                <w:rFonts w:hint="eastAsia" w:hAnsi="宋体" w:cs="宋体"/>
                <w:color w:val="auto"/>
                <w:sz w:val="21"/>
                <w:highlight w:val="none"/>
              </w:rPr>
              <w:t>开户银行：中国建设银行股份有限公司广西自贸试验区南宁片区五象支行（联行号：105611050013）</w:t>
            </w:r>
          </w:p>
          <w:p w14:paraId="582017D3">
            <w:pPr>
              <w:pStyle w:val="26"/>
              <w:shd w:val="clear"/>
              <w:spacing w:line="360" w:lineRule="auto"/>
              <w:rPr>
                <w:rFonts w:hint="eastAsia" w:hAnsi="宋体" w:cs="宋体"/>
                <w:color w:val="auto"/>
                <w:sz w:val="21"/>
                <w:highlight w:val="none"/>
              </w:rPr>
            </w:pPr>
            <w:r>
              <w:rPr>
                <w:rFonts w:hint="eastAsia" w:hAnsi="宋体" w:cs="宋体"/>
                <w:color w:val="auto"/>
                <w:sz w:val="21"/>
                <w:highlight w:val="none"/>
              </w:rPr>
              <w:t>银行账号：45050160500100000537</w:t>
            </w:r>
          </w:p>
        </w:tc>
      </w:tr>
      <w:tr w14:paraId="70EA4D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0AE201DB">
            <w:pPr>
              <w:shd w:val="clear"/>
              <w:spacing w:line="360" w:lineRule="auto"/>
              <w:jc w:val="center"/>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1</w:t>
            </w:r>
            <w:r>
              <w:rPr>
                <w:rFonts w:ascii="宋体" w:hAnsi="宋体"/>
                <w:color w:val="auto"/>
                <w:szCs w:val="21"/>
                <w:highlight w:val="none"/>
              </w:rPr>
              <w:t>.1</w:t>
            </w:r>
          </w:p>
        </w:tc>
        <w:tc>
          <w:tcPr>
            <w:tcW w:w="4483" w:type="pct"/>
            <w:tcBorders>
              <w:top w:val="single" w:color="auto" w:sz="4" w:space="0"/>
              <w:left w:val="single" w:color="auto" w:sz="4" w:space="0"/>
              <w:bottom w:val="single" w:color="auto" w:sz="4" w:space="0"/>
              <w:right w:val="single" w:color="auto" w:sz="4" w:space="0"/>
            </w:tcBorders>
            <w:vAlign w:val="center"/>
          </w:tcPr>
          <w:p w14:paraId="6119A983">
            <w:pPr>
              <w:shd w:val="clear"/>
              <w:spacing w:line="360" w:lineRule="auto"/>
              <w:rPr>
                <w:rFonts w:hint="eastAsia" w:ascii="宋体" w:hAnsi="宋体"/>
                <w:color w:val="auto"/>
                <w:szCs w:val="21"/>
                <w:highlight w:val="none"/>
              </w:rPr>
            </w:pPr>
            <w:r>
              <w:rPr>
                <w:rFonts w:hint="eastAsia" w:ascii="宋体" w:hAnsi="宋体"/>
                <w:color w:val="auto"/>
                <w:szCs w:val="21"/>
                <w:highlight w:val="none"/>
              </w:rPr>
              <w:t>解释：</w:t>
            </w:r>
            <w:r>
              <w:rPr>
                <w:rFonts w:ascii="宋体" w:hAnsi="宋体"/>
                <w:color w:val="auto"/>
                <w:szCs w:val="21"/>
                <w:highlight w:val="none"/>
              </w:rPr>
              <w:t>构成本招标文件的各个组成文件应互为解释，互为说明；除招标文件中有特别规定外，仅适用于招标投标阶段的规定，按</w:t>
            </w:r>
            <w:r>
              <w:rPr>
                <w:rFonts w:hint="eastAsia" w:ascii="宋体" w:hAnsi="宋体"/>
                <w:color w:val="auto"/>
                <w:szCs w:val="21"/>
                <w:highlight w:val="none"/>
              </w:rPr>
              <w:t>更正公告（澄清公告）</w:t>
            </w:r>
            <w:r>
              <w:rPr>
                <w:rFonts w:ascii="宋体" w:hAnsi="宋体"/>
                <w:color w:val="auto"/>
                <w:szCs w:val="21"/>
                <w:highlight w:val="none"/>
              </w:rPr>
              <w:t>、招标公告、</w:t>
            </w:r>
            <w:r>
              <w:rPr>
                <w:rFonts w:hint="eastAsia" w:ascii="宋体" w:hAnsi="宋体"/>
                <w:color w:val="auto"/>
                <w:szCs w:val="21"/>
                <w:highlight w:val="none"/>
              </w:rPr>
              <w:t>采购需求、</w:t>
            </w:r>
            <w:r>
              <w:rPr>
                <w:rFonts w:ascii="宋体" w:hAnsi="宋体"/>
                <w:color w:val="auto"/>
                <w:szCs w:val="21"/>
                <w:highlight w:val="none"/>
              </w:rPr>
              <w:t>投标人须知、</w:t>
            </w:r>
            <w:r>
              <w:rPr>
                <w:rFonts w:hint="eastAsia" w:ascii="宋体" w:hAnsi="宋体"/>
                <w:color w:val="auto"/>
                <w:szCs w:val="21"/>
                <w:highlight w:val="none"/>
              </w:rPr>
              <w:t>评标方法及评标标准</w:t>
            </w:r>
            <w:r>
              <w:rPr>
                <w:rFonts w:ascii="宋体" w:hAnsi="宋体"/>
                <w:color w:val="auto"/>
                <w:szCs w:val="21"/>
                <w:highlight w:val="none"/>
              </w:rPr>
              <w:t>、</w:t>
            </w:r>
            <w:r>
              <w:rPr>
                <w:rFonts w:hint="eastAsia" w:ascii="宋体" w:hAnsi="宋体"/>
                <w:color w:val="auto"/>
                <w:szCs w:val="21"/>
                <w:highlight w:val="none"/>
              </w:rPr>
              <w:t>拟签订的合同文本、</w:t>
            </w:r>
            <w:r>
              <w:rPr>
                <w:rFonts w:ascii="宋体" w:hAnsi="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highlight w:val="none"/>
              </w:rPr>
              <w:t>更正公告（澄清公告）</w:t>
            </w:r>
            <w:r>
              <w:rPr>
                <w:rFonts w:ascii="宋体" w:hAnsi="宋体"/>
                <w:color w:val="auto"/>
                <w:szCs w:val="21"/>
                <w:highlight w:val="none"/>
              </w:rPr>
              <w:t>与同步更新的招标文件不一致时以</w:t>
            </w:r>
            <w:r>
              <w:rPr>
                <w:rFonts w:hint="eastAsia" w:ascii="宋体" w:hAnsi="宋体"/>
                <w:color w:val="auto"/>
                <w:szCs w:val="21"/>
                <w:highlight w:val="none"/>
              </w:rPr>
              <w:t>更正公告（澄清公告）</w:t>
            </w:r>
            <w:r>
              <w:rPr>
                <w:rFonts w:ascii="宋体" w:hAnsi="宋体"/>
                <w:color w:val="auto"/>
                <w:szCs w:val="21"/>
                <w:highlight w:val="none"/>
              </w:rPr>
              <w:t>为准。按本款前述规定仍不能形成结论的，由</w:t>
            </w:r>
            <w:r>
              <w:rPr>
                <w:rFonts w:hint="eastAsia" w:ascii="宋体" w:hAnsi="宋体"/>
                <w:color w:val="auto"/>
                <w:szCs w:val="21"/>
                <w:highlight w:val="none"/>
              </w:rPr>
              <w:t>招标人或者采购代理机构</w:t>
            </w:r>
            <w:r>
              <w:rPr>
                <w:rFonts w:ascii="宋体" w:hAnsi="宋体"/>
                <w:color w:val="auto"/>
                <w:szCs w:val="21"/>
                <w:highlight w:val="none"/>
              </w:rPr>
              <w:t>负责解释。</w:t>
            </w:r>
          </w:p>
        </w:tc>
      </w:tr>
      <w:tr w14:paraId="3457DE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16" w:type="pct"/>
            <w:tcBorders>
              <w:top w:val="single" w:color="auto" w:sz="4" w:space="0"/>
              <w:left w:val="single" w:color="auto" w:sz="4" w:space="0"/>
              <w:bottom w:val="single" w:color="auto" w:sz="4" w:space="0"/>
              <w:right w:val="single" w:color="auto" w:sz="4" w:space="0"/>
            </w:tcBorders>
            <w:vAlign w:val="center"/>
          </w:tcPr>
          <w:p w14:paraId="5ADD1DF3">
            <w:pPr>
              <w:shd w:val="clear"/>
              <w:spacing w:line="360" w:lineRule="auto"/>
              <w:jc w:val="center"/>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1</w:t>
            </w:r>
            <w:r>
              <w:rPr>
                <w:rFonts w:ascii="宋体" w:hAnsi="宋体"/>
                <w:color w:val="auto"/>
                <w:szCs w:val="21"/>
                <w:highlight w:val="none"/>
              </w:rPr>
              <w:t>.2</w:t>
            </w:r>
          </w:p>
        </w:tc>
        <w:tc>
          <w:tcPr>
            <w:tcW w:w="4483" w:type="pct"/>
            <w:tcBorders>
              <w:top w:val="single" w:color="auto" w:sz="4" w:space="0"/>
              <w:left w:val="single" w:color="auto" w:sz="4" w:space="0"/>
              <w:bottom w:val="single" w:color="auto" w:sz="4" w:space="0"/>
              <w:right w:val="single" w:color="auto" w:sz="4" w:space="0"/>
            </w:tcBorders>
            <w:vAlign w:val="center"/>
          </w:tcPr>
          <w:p w14:paraId="06C1DA1D">
            <w:pPr>
              <w:pStyle w:val="26"/>
              <w:shd w:val="clear"/>
              <w:spacing w:line="360" w:lineRule="auto"/>
              <w:rPr>
                <w:rFonts w:hint="eastAsia" w:hAnsi="宋体" w:cs="宋体"/>
                <w:bCs/>
                <w:color w:val="auto"/>
                <w:sz w:val="21"/>
                <w:highlight w:val="none"/>
              </w:rPr>
            </w:pPr>
            <w:r>
              <w:rPr>
                <w:rFonts w:hint="eastAsia" w:hAnsi="宋体" w:cs="宋体"/>
                <w:bCs/>
                <w:color w:val="auto"/>
                <w:sz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6A34F683">
            <w:pPr>
              <w:pStyle w:val="26"/>
              <w:shd w:val="clear"/>
              <w:spacing w:line="360" w:lineRule="auto"/>
              <w:rPr>
                <w:rFonts w:hint="eastAsia" w:hAnsi="宋体" w:cs="宋体"/>
                <w:bCs/>
                <w:color w:val="auto"/>
                <w:sz w:val="21"/>
                <w:highlight w:val="none"/>
              </w:rPr>
            </w:pPr>
            <w:r>
              <w:rPr>
                <w:rFonts w:hint="eastAsia" w:hAnsi="宋体" w:cs="宋体"/>
                <w:bCs/>
                <w:color w:val="auto"/>
                <w:sz w:val="21"/>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67B4B30D">
            <w:pPr>
              <w:pStyle w:val="26"/>
              <w:shd w:val="clear"/>
              <w:spacing w:line="360" w:lineRule="auto"/>
              <w:rPr>
                <w:rFonts w:hint="eastAsia" w:hAnsi="宋体" w:cs="宋体"/>
                <w:bCs/>
                <w:color w:val="auto"/>
                <w:sz w:val="21"/>
                <w:highlight w:val="none"/>
              </w:rPr>
            </w:pPr>
            <w:r>
              <w:rPr>
                <w:rFonts w:hint="eastAsia" w:hAnsi="宋体" w:cs="宋体"/>
                <w:bCs/>
                <w:color w:val="auto"/>
                <w:sz w:val="21"/>
                <w:highlight w:val="none"/>
              </w:rPr>
              <w:t>3.投标文件中涉及签字的，须由法定代表人或其授权代表亲笔签署，电子签名须符合《中华人民共和国电子签名法》规定并被招标人认可；未按要求签署的，视为无效投标。</w:t>
            </w:r>
          </w:p>
          <w:p w14:paraId="23ADF1DC">
            <w:pPr>
              <w:pStyle w:val="26"/>
              <w:shd w:val="clear"/>
              <w:spacing w:line="360" w:lineRule="auto"/>
              <w:rPr>
                <w:rFonts w:hint="eastAsia" w:hAnsi="宋体" w:cs="宋体"/>
                <w:bCs/>
                <w:color w:val="auto"/>
                <w:sz w:val="21"/>
                <w:highlight w:val="none"/>
              </w:rPr>
            </w:pPr>
            <w:r>
              <w:rPr>
                <w:rFonts w:hint="eastAsia" w:hAnsi="宋体" w:cs="宋体"/>
                <w:bCs/>
                <w:color w:val="auto"/>
                <w:sz w:val="21"/>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669FC99D">
            <w:pPr>
              <w:pStyle w:val="26"/>
              <w:shd w:val="clear"/>
              <w:spacing w:line="360" w:lineRule="auto"/>
              <w:rPr>
                <w:rFonts w:hint="eastAsia" w:hAnsi="宋体" w:cs="宋体"/>
                <w:bCs/>
                <w:color w:val="auto"/>
                <w:sz w:val="21"/>
                <w:highlight w:val="none"/>
              </w:rPr>
            </w:pPr>
            <w:r>
              <w:rPr>
                <w:rFonts w:hint="eastAsia" w:hAnsi="宋体" w:cs="宋体"/>
                <w:bCs/>
                <w:color w:val="auto"/>
                <w:sz w:val="21"/>
                <w:highlight w:val="none"/>
              </w:rPr>
              <w:t>5.自然人投标的，招标文件规定盖公章处由自然人摁手指指印。</w:t>
            </w:r>
          </w:p>
          <w:p w14:paraId="1BBB8144">
            <w:pPr>
              <w:shd w:val="clear"/>
              <w:spacing w:line="360" w:lineRule="auto"/>
              <w:jc w:val="left"/>
              <w:rPr>
                <w:rFonts w:hint="eastAsia" w:ascii="宋体" w:hAnsi="宋体"/>
                <w:color w:val="auto"/>
                <w:szCs w:val="21"/>
                <w:highlight w:val="none"/>
              </w:rPr>
            </w:pPr>
            <w:r>
              <w:rPr>
                <w:rFonts w:hint="eastAsia" w:ascii="宋体" w:hAnsi="宋体" w:cs="宋体"/>
                <w:bCs/>
                <w:color w:val="auto"/>
                <w:szCs w:val="21"/>
                <w:highlight w:val="none"/>
              </w:rPr>
              <w:t>6.本招标文件所称的“以上”“以下”“以内”“届满”，包括本数；所称的“不满”“超过”“以外”，不包括本数。</w:t>
            </w:r>
          </w:p>
        </w:tc>
      </w:tr>
    </w:tbl>
    <w:p w14:paraId="4B5D12D8">
      <w:pPr>
        <w:shd w:val="clear"/>
        <w:snapToGrid w:val="0"/>
        <w:rPr>
          <w:rFonts w:hint="eastAsia" w:ascii="宋体" w:hAnsi="宋体"/>
          <w:color w:val="auto"/>
          <w:sz w:val="24"/>
          <w:szCs w:val="20"/>
          <w:highlight w:val="none"/>
        </w:rPr>
      </w:pPr>
    </w:p>
    <w:p w14:paraId="0B17D811">
      <w:pPr>
        <w:pStyle w:val="5"/>
        <w:keepNext w:val="0"/>
        <w:keepLines w:val="0"/>
        <w:shd w:val="clear"/>
        <w:jc w:val="center"/>
        <w:rPr>
          <w:color w:val="auto"/>
          <w:highlight w:val="none"/>
        </w:rPr>
      </w:pPr>
      <w:r>
        <w:rPr>
          <w:color w:val="auto"/>
          <w:highlight w:val="none"/>
        </w:rPr>
        <w:br w:type="page"/>
      </w:r>
      <w:r>
        <w:rPr>
          <w:rFonts w:hint="eastAsia"/>
          <w:color w:val="auto"/>
          <w:highlight w:val="none"/>
        </w:rPr>
        <w:t>投标人须知正文</w:t>
      </w:r>
    </w:p>
    <w:p w14:paraId="47B4B7DD">
      <w:pPr>
        <w:pStyle w:val="5"/>
        <w:keepNext w:val="0"/>
        <w:keepLines w:val="0"/>
        <w:shd w:val="clear"/>
        <w:jc w:val="center"/>
        <w:rPr>
          <w:color w:val="auto"/>
          <w:highlight w:val="none"/>
        </w:rPr>
      </w:pPr>
      <w:r>
        <w:rPr>
          <w:rFonts w:hint="eastAsia"/>
          <w:color w:val="auto"/>
          <w:highlight w:val="none"/>
        </w:rPr>
        <w:t>一、总  则</w:t>
      </w:r>
    </w:p>
    <w:p w14:paraId="0413F48F">
      <w:pPr>
        <w:shd w:val="clear"/>
        <w:spacing w:line="360" w:lineRule="auto"/>
        <w:ind w:firstLine="420" w:firstLineChars="200"/>
        <w:rPr>
          <w:rFonts w:hint="eastAsia" w:ascii="宋体" w:hAnsi="宋体" w:cs="宋体"/>
          <w:color w:val="auto"/>
          <w:szCs w:val="21"/>
          <w:highlight w:val="none"/>
        </w:rPr>
      </w:pPr>
      <w:bookmarkStart w:id="81" w:name="_Toc254970668"/>
      <w:bookmarkStart w:id="82" w:name="_Toc254970527"/>
      <w:bookmarkStart w:id="83" w:name="_Hlk65857140"/>
      <w:r>
        <w:rPr>
          <w:rFonts w:hint="eastAsia" w:ascii="宋体" w:hAnsi="宋体" w:cs="宋体"/>
          <w:color w:val="auto"/>
          <w:szCs w:val="21"/>
          <w:highlight w:val="none"/>
        </w:rPr>
        <w:t>1.适用范围</w:t>
      </w:r>
      <w:bookmarkEnd w:id="81"/>
      <w:bookmarkEnd w:id="82"/>
    </w:p>
    <w:p w14:paraId="75A15745">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适用法律：本项目招标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2E294436">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51EA1DFD">
      <w:pPr>
        <w:shd w:val="clear"/>
        <w:spacing w:line="360" w:lineRule="auto"/>
        <w:ind w:firstLine="420" w:firstLineChars="200"/>
        <w:rPr>
          <w:rFonts w:hint="eastAsia" w:ascii="宋体" w:hAnsi="宋体" w:cs="宋体"/>
          <w:color w:val="auto"/>
          <w:szCs w:val="21"/>
          <w:highlight w:val="none"/>
        </w:rPr>
      </w:pPr>
      <w:bookmarkStart w:id="84" w:name="_Toc254970528"/>
      <w:bookmarkStart w:id="85" w:name="_Toc254970669"/>
      <w:r>
        <w:rPr>
          <w:rFonts w:hint="eastAsia" w:ascii="宋体" w:hAnsi="宋体" w:cs="宋体"/>
          <w:color w:val="auto"/>
          <w:szCs w:val="21"/>
          <w:highlight w:val="none"/>
        </w:rPr>
        <w:t>2.定义</w:t>
      </w:r>
      <w:bookmarkEnd w:id="84"/>
      <w:bookmarkEnd w:id="85"/>
    </w:p>
    <w:p w14:paraId="002EC71C">
      <w:pPr>
        <w:shd w:val="clea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2.1“招标人”是指依法进行政府采购的国家机关、事业单位、团体组织。</w:t>
      </w:r>
    </w:p>
    <w:p w14:paraId="5EA06DE6">
      <w:pPr>
        <w:shd w:val="clea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2.2“采购代理机构” 指政府采购集中采购机构和集中采购机构以外的采购代理机构。</w:t>
      </w:r>
    </w:p>
    <w:p w14:paraId="71FB7CC5">
      <w:pPr>
        <w:shd w:val="clea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2.3“供应商”是指向招标人提供货物、工程或者服务的法人、其他组织或者自然人。</w:t>
      </w:r>
    </w:p>
    <w:p w14:paraId="33DDAC81">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2.4“投标人”是指响应招标、参加投标竞争的法人、非法人组织或者自然人。</w:t>
      </w:r>
    </w:p>
    <w:p w14:paraId="6475B127">
      <w:pPr>
        <w:shd w:val="clea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2.5</w:t>
      </w:r>
      <w:r>
        <w:rPr>
          <w:rFonts w:hint="eastAsia" w:ascii="宋体" w:hAnsi="宋体" w:cs="宋体"/>
          <w:bCs/>
          <w:color w:val="auto"/>
          <w:szCs w:val="21"/>
          <w:highlight w:val="none"/>
        </w:rPr>
        <w:t>“服务”是指除货物和工程以外的其他政府采购对象。</w:t>
      </w:r>
    </w:p>
    <w:p w14:paraId="71754936">
      <w:pPr>
        <w:shd w:val="clear"/>
        <w:spacing w:line="360" w:lineRule="auto"/>
        <w:ind w:firstLine="420" w:firstLineChars="200"/>
        <w:outlineLvl w:val="4"/>
        <w:rPr>
          <w:rFonts w:hint="eastAsia" w:ascii="宋体" w:hAnsi="宋体" w:cs="宋体"/>
          <w:bCs/>
          <w:color w:val="auto"/>
          <w:szCs w:val="21"/>
          <w:highlight w:val="none"/>
        </w:rPr>
      </w:pPr>
      <w:r>
        <w:rPr>
          <w:rFonts w:hint="eastAsia" w:ascii="宋体" w:hAnsi="宋体" w:cs="宋体"/>
          <w:bCs/>
          <w:color w:val="auto"/>
          <w:szCs w:val="21"/>
          <w:highlight w:val="none"/>
        </w:rPr>
        <w:t>2.6“售后服务” 是指商品出售以后所提供的各种服务，包含但不限于投标人须承担的备品备件、包装、运输、装卸、保险、货到就位以及安装、调试、培训、质保以及其他各种服务。</w:t>
      </w:r>
    </w:p>
    <w:p w14:paraId="13E9BD77">
      <w:pPr>
        <w:shd w:val="clear"/>
        <w:spacing w:line="360" w:lineRule="auto"/>
        <w:outlineLvl w:val="4"/>
        <w:rPr>
          <w:rFonts w:hint="eastAsia" w:ascii="宋体" w:hAnsi="宋体" w:cs="宋体"/>
          <w:bCs/>
          <w:color w:val="auto"/>
          <w:szCs w:val="21"/>
          <w:highlight w:val="none"/>
        </w:rPr>
      </w:pPr>
      <w:r>
        <w:rPr>
          <w:rFonts w:hint="eastAsia" w:ascii="宋体" w:hAnsi="宋体" w:cs="宋体"/>
          <w:bCs/>
          <w:color w:val="auto"/>
          <w:szCs w:val="21"/>
          <w:highlight w:val="none"/>
        </w:rPr>
        <w:t xml:space="preserve">    2.7“书面形式”是指合同书、信件和数据电文（包括电报、电传、传真、电子数据交换和电子邮件）等可以有形地表现所载内容的形式。</w:t>
      </w:r>
    </w:p>
    <w:p w14:paraId="762563D6">
      <w:pPr>
        <w:shd w:val="clear"/>
        <w:spacing w:line="360" w:lineRule="auto"/>
        <w:ind w:firstLine="420" w:firstLineChars="200"/>
        <w:outlineLvl w:val="4"/>
        <w:rPr>
          <w:rFonts w:hint="eastAsia" w:ascii="宋体" w:hAnsi="宋体" w:cs="宋体"/>
          <w:bCs/>
          <w:color w:val="auto"/>
          <w:szCs w:val="21"/>
          <w:highlight w:val="none"/>
        </w:rPr>
      </w:pPr>
      <w:r>
        <w:rPr>
          <w:rFonts w:hint="eastAsia" w:ascii="宋体" w:hAnsi="宋体" w:cs="宋体"/>
          <w:bCs/>
          <w:color w:val="auto"/>
          <w:szCs w:val="21"/>
          <w:highlight w:val="none"/>
        </w:rPr>
        <w:t>2.8“实质性要求”是指招标文件中已经指明不满足则投标无效的条款，或者不能负偏离的条款，或者采购需求中带“▲”的条款。</w:t>
      </w:r>
    </w:p>
    <w:p w14:paraId="4BA9581E">
      <w:pPr>
        <w:shd w:val="clea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2.9 “正偏离”，是指投标文件对招标文件“采购需求”中有关条款作出的响应优于条款要求并有利于招标人的情形。</w:t>
      </w:r>
    </w:p>
    <w:p w14:paraId="2E74B4D1">
      <w:pPr>
        <w:shd w:val="clea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2.10“负偏离”，是指投标文件对招标文件“采购需求”中有关条款作出的响应不满足条款要求，导致招标人要求不能得到满足的情形。</w:t>
      </w:r>
    </w:p>
    <w:p w14:paraId="04C5752C">
      <w:pPr>
        <w:shd w:val="clea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6ED122CD">
      <w:pPr>
        <w:shd w:val="clear"/>
        <w:spacing w:line="360" w:lineRule="auto"/>
        <w:ind w:firstLine="420" w:firstLineChars="200"/>
        <w:rPr>
          <w:rFonts w:hint="eastAsia" w:ascii="宋体" w:hAnsi="宋体" w:cs="宋体"/>
          <w:color w:val="auto"/>
          <w:szCs w:val="21"/>
          <w:highlight w:val="none"/>
        </w:rPr>
      </w:pPr>
      <w:bookmarkStart w:id="86" w:name="_Toc254970529"/>
      <w:bookmarkStart w:id="87" w:name="_Toc254970670"/>
      <w:r>
        <w:rPr>
          <w:rFonts w:hint="eastAsia" w:ascii="宋体" w:hAnsi="宋体" w:cs="宋体"/>
          <w:color w:val="auto"/>
          <w:szCs w:val="21"/>
          <w:highlight w:val="none"/>
        </w:rPr>
        <w:t>3.</w:t>
      </w:r>
      <w:bookmarkEnd w:id="86"/>
      <w:bookmarkEnd w:id="87"/>
      <w:r>
        <w:rPr>
          <w:rFonts w:hint="eastAsia" w:ascii="宋体" w:hAnsi="宋体" w:cs="宋体"/>
          <w:color w:val="auto"/>
          <w:szCs w:val="21"/>
          <w:highlight w:val="none"/>
        </w:rPr>
        <w:t>投标人的资格要求</w:t>
      </w:r>
    </w:p>
    <w:p w14:paraId="76F47889">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投标人的资格要求详见“招标公告”。</w:t>
      </w:r>
    </w:p>
    <w:p w14:paraId="1574997A">
      <w:pPr>
        <w:shd w:val="clear"/>
        <w:spacing w:line="360" w:lineRule="auto"/>
        <w:ind w:firstLine="420" w:firstLineChars="200"/>
        <w:rPr>
          <w:rFonts w:hint="eastAsia" w:ascii="宋体" w:hAnsi="宋体" w:cs="宋体"/>
          <w:color w:val="auto"/>
          <w:szCs w:val="21"/>
          <w:highlight w:val="none"/>
        </w:rPr>
      </w:pPr>
      <w:bookmarkStart w:id="88" w:name="_Toc254970530"/>
      <w:bookmarkStart w:id="89" w:name="_Toc254970671"/>
      <w:r>
        <w:rPr>
          <w:rFonts w:hint="eastAsia" w:ascii="宋体" w:hAnsi="宋体" w:cs="宋体"/>
          <w:color w:val="auto"/>
          <w:szCs w:val="21"/>
          <w:highlight w:val="none"/>
        </w:rPr>
        <w:t>4.投标委托</w:t>
      </w:r>
      <w:bookmarkEnd w:id="88"/>
      <w:bookmarkEnd w:id="89"/>
    </w:p>
    <w:p w14:paraId="68734AB9">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投标人代表参加投标活动过程中必须携带个人有效身份证件。如投标人代表不是法定代表人，须持有法定代表人授权委托书（按第六章要求格式填写）。</w:t>
      </w:r>
    </w:p>
    <w:p w14:paraId="69C90DD0">
      <w:pPr>
        <w:shd w:val="clear"/>
        <w:spacing w:line="360" w:lineRule="auto"/>
        <w:ind w:firstLine="420" w:firstLineChars="200"/>
        <w:rPr>
          <w:rFonts w:hint="eastAsia" w:ascii="宋体" w:hAnsi="宋体" w:cs="宋体"/>
          <w:color w:val="auto"/>
          <w:szCs w:val="21"/>
          <w:highlight w:val="none"/>
        </w:rPr>
      </w:pPr>
      <w:bookmarkStart w:id="90" w:name="_5.投标费用"/>
      <w:bookmarkEnd w:id="90"/>
      <w:bookmarkStart w:id="91" w:name="_Toc254970531"/>
      <w:bookmarkStart w:id="92" w:name="_Toc254970672"/>
      <w:r>
        <w:rPr>
          <w:rFonts w:hint="eastAsia" w:ascii="宋体" w:hAnsi="宋体" w:cs="宋体"/>
          <w:color w:val="auto"/>
          <w:szCs w:val="21"/>
          <w:highlight w:val="none"/>
        </w:rPr>
        <w:t>5.投标费用</w:t>
      </w:r>
      <w:bookmarkEnd w:id="91"/>
      <w:bookmarkEnd w:id="92"/>
    </w:p>
    <w:p w14:paraId="0E3C1177">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7C4BF43F">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6.联合体投标</w:t>
      </w:r>
    </w:p>
    <w:p w14:paraId="23213296">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04A1D63C">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30287721">
      <w:pPr>
        <w:shd w:val="clear"/>
        <w:spacing w:line="360" w:lineRule="auto"/>
        <w:ind w:firstLine="420" w:firstLineChars="200"/>
        <w:rPr>
          <w:rFonts w:hint="eastAsia" w:ascii="宋体" w:hAnsi="宋体" w:cs="宋体"/>
          <w:color w:val="auto"/>
          <w:szCs w:val="21"/>
          <w:highlight w:val="none"/>
          <w:shd w:val="clear" w:color="auto" w:fill="FFFFFF"/>
        </w:rPr>
      </w:pPr>
      <w:r>
        <w:rPr>
          <w:rFonts w:hint="eastAsia" w:ascii="宋体" w:hAnsi="宋体" w:cs="宋体"/>
          <w:bCs/>
          <w:color w:val="auto"/>
          <w:szCs w:val="21"/>
          <w:highlight w:val="none"/>
        </w:rPr>
        <w:t>6.3根据《政府采购促进中小企业发展管理办法》（财库〔2020〕46号）第九条第二款及《广西壮族自治区财政厅关于进一步发挥政府采购政策功能促进企业发展的通知》桂财采〔2022〕30号 文件的规定，接受大中型企业与小微企业组成联合体或者允许大中型企业向一家或者多家小微企业分包的采购项目，对于联合协议或者分包意向协议约定小微企业的合同份额占到合同总金额30%以上的，招标人、采购代理机构应当对联合体或者大中型企业的报价给予4%-6%的扣除，用扣除后的价格参加评审。组成联合体的小微企业与联合体内其他企业、分包企业之间存在直接控股、管理关系的，不享受价格扣除优惠政策。</w:t>
      </w:r>
    </w:p>
    <w:p w14:paraId="23A28699">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7.转包与分包</w:t>
      </w:r>
    </w:p>
    <w:p w14:paraId="3679745E">
      <w:pPr>
        <w:shd w:val="clea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7.1本项目不允许转包。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2D512B17">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7.2根据《政府采购促进中小企业发展管理办法》（财库[2020]46号）第九条及《广西壮族自治区财政厅关于进一步发挥政府采购政策功能促进企业发展的通知》桂财采〔2022〕30号 文件的规定，允许大中型企业向一家或者多家小微企业分包的采购项目，对于分包意向协议约定小微企业的合同份额占到合同总金额 30%以上的，招标人、采购代理机构应当对大中型企业的报价给予 4%-6%的扣除，用扣除后的价格参加评审。接受分包的小微企业与分包企业之间存在直接控股、管理关系的，不享受价格扣除优惠政策。</w:t>
      </w:r>
    </w:p>
    <w:p w14:paraId="4F98436A">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7.3按照《政府采购促进中小企业发展管理办法》（财库〔2020〕46号）的规定，依据该办法规定享受扶持政策获得政府采购合同的，小微企业不得将合同分包给大中型企业，中型企业不得将合同分包给大型企业。</w:t>
      </w:r>
    </w:p>
    <w:p w14:paraId="292FD3CD">
      <w:pPr>
        <w:shd w:val="clear"/>
        <w:spacing w:line="360" w:lineRule="auto"/>
        <w:ind w:firstLine="420" w:firstLineChars="200"/>
        <w:rPr>
          <w:rFonts w:hint="eastAsia" w:ascii="宋体" w:hAnsi="宋体" w:cs="宋体"/>
          <w:color w:val="auto"/>
          <w:szCs w:val="21"/>
          <w:highlight w:val="none"/>
        </w:rPr>
      </w:pPr>
      <w:bookmarkStart w:id="93" w:name="_Toc254970673"/>
      <w:bookmarkStart w:id="94" w:name="_Toc254970532"/>
      <w:r>
        <w:rPr>
          <w:rFonts w:hint="eastAsia" w:ascii="宋体" w:hAnsi="宋体" w:cs="宋体"/>
          <w:color w:val="auto"/>
          <w:szCs w:val="21"/>
          <w:highlight w:val="none"/>
        </w:rPr>
        <w:t>8.特别说明：</w:t>
      </w:r>
      <w:bookmarkEnd w:id="93"/>
      <w:bookmarkEnd w:id="94"/>
      <w:bookmarkStart w:id="95" w:name="_8.1提供相同品牌产品且通过资格审查、符合性审查的不同投标人参加同一合"/>
      <w:bookmarkEnd w:id="95"/>
    </w:p>
    <w:p w14:paraId="66B746E9">
      <w:pPr>
        <w:shd w:val="clear"/>
        <w:spacing w:line="360" w:lineRule="auto"/>
        <w:ind w:firstLine="369" w:firstLineChars="175"/>
        <w:outlineLvl w:val="4"/>
        <w:rPr>
          <w:rFonts w:hint="eastAsia" w:ascii="宋体" w:hAnsi="宋体" w:cs="宋体"/>
          <w:b/>
          <w:bCs/>
          <w:color w:val="auto"/>
          <w:szCs w:val="21"/>
          <w:highlight w:val="none"/>
        </w:rPr>
      </w:pPr>
      <w:r>
        <w:rPr>
          <w:rFonts w:hint="eastAsia" w:ascii="宋体" w:hAnsi="宋体" w:cs="宋体"/>
          <w:b/>
          <w:bCs/>
          <w:color w:val="auto"/>
          <w:szCs w:val="21"/>
          <w:highlight w:val="none"/>
        </w:rPr>
        <w:t>8.1如果本招标文件要求投标人提供资格、信誉、荣誉、业绩与企业认证等材料的，则投标人所提供的以上材料必须为本投标人所拥有。</w:t>
      </w:r>
    </w:p>
    <w:p w14:paraId="66925A64">
      <w:pPr>
        <w:shd w:val="clear"/>
        <w:spacing w:line="360" w:lineRule="auto"/>
        <w:ind w:firstLine="369" w:firstLineChars="175"/>
        <w:outlineLvl w:val="4"/>
        <w:rPr>
          <w:rFonts w:hint="eastAsia" w:ascii="宋体" w:hAnsi="宋体" w:cs="宋体"/>
          <w:b/>
          <w:bCs/>
          <w:color w:val="auto"/>
          <w:szCs w:val="21"/>
          <w:highlight w:val="none"/>
        </w:rPr>
      </w:pPr>
      <w:r>
        <w:rPr>
          <w:rFonts w:hint="eastAsia" w:ascii="宋体" w:hAnsi="宋体" w:cs="宋体"/>
          <w:b/>
          <w:bCs/>
          <w:color w:val="auto"/>
          <w:szCs w:val="21"/>
          <w:highlight w:val="none"/>
        </w:rPr>
        <w:t>8.2投标人应仔细阅读招标文件的所有内容，按照招标文件的要求提交投标文件，并对所提供的全部资料的真实性承担法律责任。</w:t>
      </w:r>
    </w:p>
    <w:p w14:paraId="6421E7DA">
      <w:pPr>
        <w:shd w:val="clear"/>
        <w:spacing w:line="360" w:lineRule="auto"/>
        <w:ind w:firstLine="369" w:firstLineChars="175"/>
        <w:outlineLvl w:val="4"/>
        <w:rPr>
          <w:rFonts w:hint="eastAsia" w:ascii="宋体" w:hAnsi="宋体" w:cs="宋体"/>
          <w:b/>
          <w:bCs/>
          <w:color w:val="auto"/>
          <w:szCs w:val="21"/>
          <w:highlight w:val="none"/>
        </w:rPr>
      </w:pPr>
      <w:r>
        <w:rPr>
          <w:rFonts w:hint="eastAsia" w:ascii="宋体" w:hAnsi="宋体" w:cs="宋体"/>
          <w:b/>
          <w:bCs/>
          <w:color w:val="auto"/>
          <w:szCs w:val="21"/>
          <w:highlight w:val="none"/>
        </w:rPr>
        <w:t>8.3投标人在投标活动中提供任何虚假材料，将报监管部门查处；中标后发现的，中标人须依照《中华人民共和国消费者权益保护法》规定赔偿招标人，且民事赔偿并不免除违法投标人的行政与刑事责任。</w:t>
      </w:r>
    </w:p>
    <w:p w14:paraId="2381F3F5">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9.回避与串通投标</w:t>
      </w:r>
    </w:p>
    <w:p w14:paraId="0BB8707A">
      <w:pPr>
        <w:shd w:val="clea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9.1在政府采购活动中，采购人员及相关人员与供应商有下列利害关系之一的，应当回避：</w:t>
      </w:r>
    </w:p>
    <w:p w14:paraId="72CAC09F">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1FDE744E">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507E86D0">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1F247DC3">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508EA71A">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7E8A0CBA">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招标人或者采购代理机构书面提出回避申请，并说明理由。招标人或者采购代理机构应当及时询问被申请回避人员，有利害关系的被申请回避人员应当回避。</w:t>
      </w:r>
    </w:p>
    <w:p w14:paraId="685395A1">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9.2有下列情形之一的视为投标人相互串通投标，投标文件将被视为无效：</w:t>
      </w:r>
    </w:p>
    <w:p w14:paraId="3817B76E">
      <w:pPr>
        <w:shd w:val="clea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（1）不同投标人的投标文件由同一单位或者个人编制；或者不同投标人报名的IP地址一致的；</w:t>
      </w:r>
    </w:p>
    <w:p w14:paraId="6E662516">
      <w:pPr>
        <w:shd w:val="clea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（2）不同投标人委托同一单位或者个人办理投标事宜；</w:t>
      </w:r>
    </w:p>
    <w:p w14:paraId="2C751E94">
      <w:pPr>
        <w:shd w:val="clea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（3）不同的投标人的投标文件载明的项目管理员为同一个人；</w:t>
      </w:r>
    </w:p>
    <w:p w14:paraId="7CAD7474">
      <w:pPr>
        <w:shd w:val="clea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（4）不同投标人的电子投标文件异常一致或者投标报价呈规律性差异；</w:t>
      </w:r>
    </w:p>
    <w:p w14:paraId="179C52B9">
      <w:pPr>
        <w:shd w:val="clea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（5）不同投标人的投标保证金从同一单位或者个人账户转出。</w:t>
      </w:r>
    </w:p>
    <w:p w14:paraId="5B82F2F2">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6866EB10">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（1）供应商直接或者间接从招标人或者采购代理机构处获得其他供应商的相关信息并修改其投标文件或者投标文件；</w:t>
      </w:r>
    </w:p>
    <w:p w14:paraId="583FD1B5">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（2）供应商按照招标人或者采购代理机构的授意撤换、修改投标文件或者投标文件；</w:t>
      </w:r>
    </w:p>
    <w:p w14:paraId="48C999EC">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（3）供应商之间协商报价、技术方案等投标文件或者投标文件的实质性内容；</w:t>
      </w:r>
    </w:p>
    <w:p w14:paraId="6FBF18D7">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35F99D79">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0ADBC58F">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3D8F1E10">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（7）供应商与招标人或者采购代理机构之间、供应商相互之间，为谋求特定供应商中标或者排斥其他供应商的其他串通行为。</w:t>
      </w:r>
    </w:p>
    <w:p w14:paraId="5880B65C">
      <w:pPr>
        <w:shd w:val="clear"/>
        <w:snapToGrid w:val="0"/>
        <w:spacing w:line="380" w:lineRule="exact"/>
        <w:ind w:left="2" w:leftChars="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9.4关联供应商不得参加同一合同项下政府采购活动，否则投标文件将被视为无效：</w:t>
      </w:r>
    </w:p>
    <w:p w14:paraId="2DD881C6">
      <w:pPr>
        <w:shd w:val="clear"/>
        <w:snapToGrid w:val="0"/>
        <w:spacing w:line="380" w:lineRule="exact"/>
        <w:ind w:left="2" w:leftChars="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单位负责人为同一人或者存在直接控股、管理关系的不同的供应商，不得参加同一合同项下的政府采购活动；</w:t>
      </w:r>
    </w:p>
    <w:p w14:paraId="24D70706">
      <w:pPr>
        <w:shd w:val="clear"/>
        <w:snapToGrid w:val="0"/>
        <w:spacing w:line="360" w:lineRule="auto"/>
        <w:ind w:left="2" w:leftChars="1" w:firstLine="422" w:firstLineChars="200"/>
        <w:rPr>
          <w:rFonts w:hint="eastAsia" w:ascii="宋体" w:hAnsi="宋体"/>
          <w:b/>
          <w:color w:val="auto"/>
          <w:szCs w:val="20"/>
          <w:highlight w:val="none"/>
        </w:rPr>
      </w:pPr>
    </w:p>
    <w:p w14:paraId="3CA6B1DD">
      <w:pPr>
        <w:shd w:val="clear"/>
        <w:spacing w:line="400" w:lineRule="exact"/>
        <w:ind w:firstLine="643" w:firstLineChars="200"/>
        <w:jc w:val="center"/>
        <w:outlineLvl w:val="2"/>
        <w:rPr>
          <w:b/>
          <w:bCs/>
          <w:color w:val="auto"/>
          <w:sz w:val="32"/>
          <w:szCs w:val="32"/>
          <w:highlight w:val="none"/>
        </w:rPr>
      </w:pPr>
      <w:bookmarkStart w:id="96" w:name="_Toc254970675"/>
      <w:bookmarkStart w:id="97" w:name="_Toc254970534"/>
      <w:bookmarkStart w:id="98" w:name="_Toc6238"/>
      <w:r>
        <w:rPr>
          <w:rFonts w:hint="eastAsia"/>
          <w:b/>
          <w:bCs/>
          <w:color w:val="auto"/>
          <w:sz w:val="32"/>
          <w:szCs w:val="32"/>
          <w:highlight w:val="none"/>
        </w:rPr>
        <w:t>二、招标文件</w:t>
      </w:r>
      <w:bookmarkEnd w:id="96"/>
      <w:bookmarkEnd w:id="97"/>
      <w:bookmarkEnd w:id="98"/>
    </w:p>
    <w:p w14:paraId="70BEE842">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10.招标文件的组成</w:t>
      </w:r>
    </w:p>
    <w:p w14:paraId="06AB0C77">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第一章 招标公告；</w:t>
      </w:r>
    </w:p>
    <w:p w14:paraId="29D550D1">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第二章 采购需求； </w:t>
      </w:r>
    </w:p>
    <w:p w14:paraId="5E315EB4">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第三章 投标人须知；</w:t>
      </w:r>
    </w:p>
    <w:p w14:paraId="02CBD54F">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第四章 评标方法及评分标准；</w:t>
      </w:r>
    </w:p>
    <w:p w14:paraId="46208706">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第五章 拟签订的合同文本；</w:t>
      </w:r>
    </w:p>
    <w:p w14:paraId="24DF8929">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第六章 投标文件格式；</w:t>
      </w:r>
    </w:p>
    <w:p w14:paraId="3A8E128C">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第七章 质疑、投诉材料格式</w:t>
      </w:r>
    </w:p>
    <w:p w14:paraId="02AA2B0C">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根据本章第11.1项的规定对公开招标文件所做的澄清、修改，构成招标文件的组成部分。当公开招标文件与招标文件的澄清和修改就同一内容的表述不一致时，以最后澄清或修改公告为准。</w:t>
      </w:r>
    </w:p>
    <w:p w14:paraId="351D02C6">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11.招标文件的澄清、修改、现场考察和答疑会</w:t>
      </w:r>
    </w:p>
    <w:p w14:paraId="5CD85B2B">
      <w:pPr>
        <w:shd w:val="clea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11.1招标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1A3CE589">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11.2 投标人应认真审阅本公开招标文件，如有疑问，或发现其中有误或有要求不合理的，应在投标人须知前附表规定的</w:t>
      </w:r>
      <w:r>
        <w:rPr>
          <w:rFonts w:hint="eastAsia" w:ascii="宋体" w:hAnsi="宋体" w:cs="宋体"/>
          <w:color w:val="auto"/>
          <w:kern w:val="0"/>
          <w:szCs w:val="21"/>
          <w:highlight w:val="none"/>
        </w:rPr>
        <w:t>投标截止时间</w:t>
      </w:r>
      <w:r>
        <w:rPr>
          <w:rFonts w:hint="eastAsia" w:ascii="宋体" w:hAnsi="宋体" w:cs="宋体"/>
          <w:color w:val="auto"/>
          <w:szCs w:val="21"/>
          <w:highlight w:val="none"/>
        </w:rPr>
        <w:t>前以书面形式要求招标人或采购代理机构对招标文件予以澄清；否则，由此产生的后果由投标人自行负责。</w:t>
      </w:r>
    </w:p>
    <w:p w14:paraId="18C69E37">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11.3 招标人或者采购代理机构可以对已发出的招标文件进行必要的澄清或者修改。澄清或者修改的内容可能影响投标文件编制的，招标人或者采购代理机构应当在投标截止时间至少15日前，以书面形式通知(在“投标人须知前附表”规定的政府采购信息发布媒体上发布更正公告及平台短信通知)所有获取招标文件的潜在投标人；不足15日的，招标人或者采购代理机构应当顺延提交投标文件的截止时间。发出的澄清或者修改不影响投标文件编制的也应在截标前3日发出。</w:t>
      </w:r>
    </w:p>
    <w:p w14:paraId="6E6339BE">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11.4 招标人和采购代理机构可以视采购具体情况，变更投标截止时间和开标时间，将变更时间将在“投标人须知前附表”</w:t>
      </w:r>
      <w:r>
        <w:rPr>
          <w:rFonts w:hint="eastAsia" w:ascii="宋体" w:hAnsi="宋体" w:cs="宋体"/>
          <w:color w:val="auto"/>
          <w:kern w:val="0"/>
          <w:szCs w:val="21"/>
          <w:highlight w:val="none"/>
        </w:rPr>
        <w:t>规定的政府采购信息发布媒体上</w:t>
      </w:r>
      <w:r>
        <w:rPr>
          <w:rFonts w:hint="eastAsia" w:ascii="宋体" w:hAnsi="宋体" w:cs="宋体"/>
          <w:color w:val="auto"/>
          <w:szCs w:val="21"/>
          <w:highlight w:val="none"/>
        </w:rPr>
        <w:t>发布更正公告。</w:t>
      </w:r>
    </w:p>
    <w:p w14:paraId="60FE0B0B">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w:t>
      </w:r>
      <w:bookmarkStart w:id="99" w:name="_Hlk53134511"/>
      <w:r>
        <w:rPr>
          <w:rFonts w:hint="eastAsia" w:ascii="宋体" w:hAnsi="宋体" w:cs="宋体"/>
          <w:color w:val="auto"/>
          <w:szCs w:val="21"/>
          <w:highlight w:val="none"/>
        </w:rPr>
        <w:t>5招标人或者采购代理机构可以在招标文件提供期限截止后，组织已获取招标文件的潜在投标人现场考察或者召开开标前答疑会，具体详见“投标人须知前附表”。</w:t>
      </w:r>
    </w:p>
    <w:bookmarkEnd w:id="99"/>
    <w:p w14:paraId="76884437">
      <w:pPr>
        <w:shd w:val="clear"/>
        <w:spacing w:line="400" w:lineRule="exact"/>
        <w:ind w:firstLine="643" w:firstLineChars="200"/>
        <w:jc w:val="center"/>
        <w:outlineLvl w:val="2"/>
        <w:rPr>
          <w:b/>
          <w:bCs/>
          <w:color w:val="auto"/>
          <w:sz w:val="32"/>
          <w:szCs w:val="32"/>
          <w:highlight w:val="none"/>
        </w:rPr>
      </w:pPr>
      <w:bookmarkStart w:id="100" w:name="_Toc254970535"/>
      <w:bookmarkStart w:id="101" w:name="_Toc8575"/>
      <w:bookmarkStart w:id="102" w:name="_Toc254970676"/>
      <w:r>
        <w:rPr>
          <w:rFonts w:hint="eastAsia"/>
          <w:b/>
          <w:bCs/>
          <w:color w:val="auto"/>
          <w:sz w:val="32"/>
          <w:szCs w:val="32"/>
          <w:highlight w:val="none"/>
        </w:rPr>
        <w:t>三、投标文件的编制</w:t>
      </w:r>
      <w:bookmarkEnd w:id="100"/>
      <w:bookmarkEnd w:id="101"/>
      <w:bookmarkEnd w:id="102"/>
    </w:p>
    <w:p w14:paraId="40A13F11">
      <w:pPr>
        <w:shd w:val="clear"/>
        <w:spacing w:line="360" w:lineRule="auto"/>
        <w:ind w:firstLine="420" w:firstLineChars="200"/>
        <w:rPr>
          <w:rFonts w:hint="eastAsia" w:ascii="宋体" w:hAnsi="宋体" w:cs="宋体"/>
          <w:color w:val="auto"/>
          <w:szCs w:val="21"/>
          <w:highlight w:val="none"/>
        </w:rPr>
      </w:pPr>
      <w:bookmarkStart w:id="103" w:name="_Toc254970677"/>
      <w:bookmarkStart w:id="104" w:name="_Toc254970536"/>
      <w:r>
        <w:rPr>
          <w:rFonts w:hint="eastAsia" w:ascii="宋体" w:hAnsi="宋体" w:cs="宋体"/>
          <w:color w:val="auto"/>
          <w:szCs w:val="21"/>
          <w:highlight w:val="none"/>
        </w:rPr>
        <w:t>12.投标文件的编制原则</w:t>
      </w:r>
    </w:p>
    <w:p w14:paraId="5083EDB6">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投标人必须按照招标文件的要求编制投标文件。投标文件必须对招标文件提出的要求和条件作出明确响应。</w:t>
      </w:r>
    </w:p>
    <w:p w14:paraId="2093F36B">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13.投标文件的组成</w:t>
      </w:r>
      <w:bookmarkEnd w:id="103"/>
      <w:bookmarkEnd w:id="104"/>
    </w:p>
    <w:p w14:paraId="3837FC6F">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13.1投标文件由报价文件、资格证明文件、商务文件、技术文件四部分组成。</w:t>
      </w:r>
    </w:p>
    <w:p w14:paraId="5D2B9E78">
      <w:pPr>
        <w:shd w:val="clear"/>
        <w:spacing w:line="360" w:lineRule="auto"/>
        <w:ind w:firstLine="420" w:firstLineChars="200"/>
        <w:rPr>
          <w:rFonts w:hint="eastAsia" w:ascii="宋体" w:hAnsi="宋体" w:cs="宋体"/>
          <w:bCs/>
          <w:color w:val="auto"/>
          <w:szCs w:val="21"/>
          <w:highlight w:val="none"/>
        </w:rPr>
      </w:pPr>
      <w:bookmarkStart w:id="105" w:name="_13.2资格证明文件：具体材料见“投标人须知前附表”。"/>
      <w:bookmarkEnd w:id="105"/>
      <w:bookmarkStart w:id="106" w:name="_13.1报价文件:_具体材料见“投标人须知前附表”。"/>
      <w:bookmarkEnd w:id="106"/>
      <w:r>
        <w:rPr>
          <w:rFonts w:hint="eastAsia" w:ascii="宋体" w:hAnsi="宋体" w:cs="宋体"/>
          <w:bCs/>
          <w:color w:val="auto"/>
          <w:szCs w:val="21"/>
          <w:highlight w:val="none"/>
        </w:rPr>
        <w:t>（1）资格证明文件：具体材料见“投标人须知前附表”。</w:t>
      </w:r>
    </w:p>
    <w:p w14:paraId="583FAA55">
      <w:pPr>
        <w:shd w:val="clear"/>
        <w:spacing w:line="360" w:lineRule="auto"/>
        <w:ind w:firstLine="420" w:firstLineChars="200"/>
        <w:rPr>
          <w:rFonts w:hint="eastAsia" w:ascii="宋体" w:hAnsi="宋体" w:cs="宋体"/>
          <w:bCs/>
          <w:color w:val="auto"/>
          <w:szCs w:val="21"/>
          <w:highlight w:val="none"/>
        </w:rPr>
      </w:pPr>
      <w:bookmarkStart w:id="107" w:name="_13.3商务文件:_具体材料见“投标人须知前附表”。"/>
      <w:bookmarkEnd w:id="107"/>
      <w:r>
        <w:rPr>
          <w:rFonts w:hint="eastAsia" w:ascii="宋体" w:hAnsi="宋体" w:cs="宋体"/>
          <w:bCs/>
          <w:color w:val="auto"/>
          <w:szCs w:val="21"/>
          <w:highlight w:val="none"/>
        </w:rPr>
        <w:t>（2）商务文件：具体材料见“投标人须知前附表”。</w:t>
      </w:r>
    </w:p>
    <w:p w14:paraId="57D36F6D">
      <w:pPr>
        <w:shd w:val="clear"/>
        <w:spacing w:line="360" w:lineRule="auto"/>
        <w:ind w:firstLine="420" w:firstLineChars="200"/>
        <w:rPr>
          <w:rFonts w:hint="eastAsia" w:ascii="宋体" w:hAnsi="宋体" w:cs="宋体"/>
          <w:bCs/>
          <w:color w:val="auto"/>
          <w:szCs w:val="21"/>
          <w:highlight w:val="none"/>
        </w:rPr>
      </w:pPr>
      <w:bookmarkStart w:id="108" w:name="_13.4技术文件：具体材料见“投标人须知前附表”。"/>
      <w:bookmarkEnd w:id="108"/>
      <w:r>
        <w:rPr>
          <w:rFonts w:hint="eastAsia" w:ascii="宋体" w:hAnsi="宋体" w:cs="宋体"/>
          <w:bCs/>
          <w:color w:val="auto"/>
          <w:szCs w:val="21"/>
          <w:highlight w:val="none"/>
        </w:rPr>
        <w:t xml:space="preserve">（3）技术文件：具体材料见“投标人须知前附表”。 </w:t>
      </w:r>
    </w:p>
    <w:p w14:paraId="3BC28348">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（4）报价文件： 具体材料见“投标人须知前附表”。</w:t>
      </w:r>
    </w:p>
    <w:p w14:paraId="44DF3387">
      <w:pPr>
        <w:shd w:val="clear"/>
        <w:spacing w:line="360" w:lineRule="auto"/>
        <w:ind w:firstLine="420" w:firstLineChars="200"/>
        <w:rPr>
          <w:rFonts w:hint="eastAsia" w:ascii="宋体" w:hAnsi="宋体" w:cs="宋体"/>
          <w:bCs/>
          <w:color w:val="auto"/>
          <w:szCs w:val="21"/>
          <w:highlight w:val="none"/>
        </w:rPr>
      </w:pPr>
      <w:bookmarkStart w:id="109" w:name="_13.5投标文件电子版：具体材料见“投标人须知前附表”。"/>
      <w:bookmarkEnd w:id="109"/>
      <w:r>
        <w:rPr>
          <w:rFonts w:hint="eastAsia" w:ascii="宋体" w:hAnsi="宋体" w:cs="宋体"/>
          <w:bCs/>
          <w:color w:val="auto"/>
          <w:szCs w:val="21"/>
          <w:highlight w:val="none"/>
        </w:rPr>
        <w:t>13.2投标文件电子版：具体要求见本节19.投标文件编制。</w:t>
      </w:r>
    </w:p>
    <w:p w14:paraId="2CE194AE">
      <w:pPr>
        <w:shd w:val="clear"/>
        <w:spacing w:line="360" w:lineRule="auto"/>
        <w:ind w:firstLine="420" w:firstLineChars="200"/>
        <w:rPr>
          <w:rFonts w:hint="eastAsia" w:ascii="宋体" w:hAnsi="宋体" w:cs="宋体"/>
          <w:color w:val="auto"/>
          <w:szCs w:val="21"/>
          <w:highlight w:val="none"/>
        </w:rPr>
      </w:pPr>
      <w:bookmarkStart w:id="110" w:name="_Toc254970537"/>
      <w:bookmarkStart w:id="111" w:name="_Toc254970678"/>
      <w:r>
        <w:rPr>
          <w:rFonts w:hint="eastAsia" w:ascii="宋体" w:hAnsi="宋体" w:cs="宋体"/>
          <w:color w:val="auto"/>
          <w:szCs w:val="21"/>
          <w:highlight w:val="none"/>
        </w:rPr>
        <w:t>14.投标文件的语言及计量</w:t>
      </w:r>
      <w:bookmarkEnd w:id="110"/>
      <w:bookmarkEnd w:id="111"/>
    </w:p>
    <w:p w14:paraId="1196F69A">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14.1语言文字</w:t>
      </w:r>
    </w:p>
    <w:p w14:paraId="73B462C9">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投标文件以及投标人与招标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5948FC7A">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14.2投标计量单位</w:t>
      </w:r>
    </w:p>
    <w:p w14:paraId="54273ABA">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120BE89D">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15.投标的风险</w:t>
      </w:r>
    </w:p>
    <w:p w14:paraId="20A91586">
      <w:pPr>
        <w:shd w:val="clea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投标人没有按照招标文件要求提供全部资料，或者投标人没有对招标文件作出实质性响应是投标人的风险，并可能导致其投标被拒绝。</w:t>
      </w:r>
    </w:p>
    <w:p w14:paraId="2455F220">
      <w:pPr>
        <w:shd w:val="clear"/>
        <w:spacing w:line="360" w:lineRule="auto"/>
        <w:ind w:firstLine="420" w:firstLineChars="200"/>
        <w:rPr>
          <w:rFonts w:hint="eastAsia" w:ascii="宋体" w:hAnsi="宋体" w:cs="宋体"/>
          <w:color w:val="auto"/>
          <w:szCs w:val="21"/>
          <w:highlight w:val="none"/>
        </w:rPr>
      </w:pPr>
      <w:bookmarkStart w:id="112" w:name="_Toc254970538"/>
      <w:bookmarkStart w:id="113" w:name="_Toc254970679"/>
      <w:r>
        <w:rPr>
          <w:rFonts w:hint="eastAsia" w:ascii="宋体" w:hAnsi="宋体" w:cs="宋体"/>
          <w:color w:val="auto"/>
          <w:szCs w:val="21"/>
          <w:highlight w:val="none"/>
        </w:rPr>
        <w:t>16.投标报价</w:t>
      </w:r>
      <w:bookmarkEnd w:id="112"/>
      <w:bookmarkEnd w:id="113"/>
    </w:p>
    <w:p w14:paraId="332868C6">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16.1投标报价应按“第六章　投标文件格式”中“开标一览表”格式填写。</w:t>
      </w:r>
    </w:p>
    <w:p w14:paraId="40F7A2C9">
      <w:pPr>
        <w:shd w:val="clear"/>
        <w:spacing w:line="360" w:lineRule="auto"/>
        <w:ind w:firstLine="420" w:firstLineChars="200"/>
        <w:rPr>
          <w:rFonts w:hint="eastAsia" w:ascii="宋体" w:hAnsi="宋体" w:cs="宋体"/>
          <w:bCs/>
          <w:color w:val="auto"/>
          <w:szCs w:val="21"/>
          <w:highlight w:val="none"/>
        </w:rPr>
      </w:pPr>
      <w:bookmarkStart w:id="114" w:name="_16.2投标报价具体定义见投标人须知前附表。"/>
      <w:bookmarkEnd w:id="114"/>
      <w:r>
        <w:rPr>
          <w:rFonts w:hint="eastAsia" w:ascii="宋体" w:hAnsi="宋体" w:cs="宋体"/>
          <w:bCs/>
          <w:color w:val="auto"/>
          <w:szCs w:val="21"/>
          <w:highlight w:val="none"/>
        </w:rPr>
        <w:t>16.2投标报价具体包括内容详见“投标人须知前附表”。</w:t>
      </w:r>
    </w:p>
    <w:p w14:paraId="393B02B0">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16.3投标人必须就所投每个分标的全部内容分别作完整唯一总价报价，不得存在漏项报价；投标人必须就所投分标的单项内容作唯一报价。</w:t>
      </w:r>
    </w:p>
    <w:p w14:paraId="438E3876">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16.4政府采购评审中出现下列情形之一的，评标委员会应当启动异常低价投标（响应）审查程序：</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本条款所述的投标（响应）报价指的是（1-供应商报出的下浮系数）</w:t>
      </w:r>
      <w:r>
        <w:rPr>
          <w:rFonts w:hint="eastAsia" w:ascii="宋体" w:hAnsi="宋体" w:cs="宋体"/>
          <w:color w:val="auto"/>
          <w:szCs w:val="21"/>
          <w:highlight w:val="none"/>
          <w:lang w:eastAsia="zh-CN"/>
        </w:rPr>
        <w:t>】</w:t>
      </w:r>
    </w:p>
    <w:p w14:paraId="77F1B28B">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1）投标（响应）报价低于全部通过符合性审查供应商投标（响应）报价平均值50%的，即投标（响应）报价&lt;全部通过符合性审查供应商投标（响应）报价平均值×50%；</w:t>
      </w:r>
    </w:p>
    <w:p w14:paraId="33C38BED">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2）投标（响应）报价低于通过符合性审查的次低报价供应商投标（响应）报价50%的，即投标（响应）报价&lt;通过符合性审查的次低报价供应商投标（响应）报价×50%；</w:t>
      </w:r>
    </w:p>
    <w:p w14:paraId="57B30FE5">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3）投标（响应）报价低于采购项目最高限价45%的，即投标（响应）报价&lt;采购项目最高限价×45%；</w:t>
      </w:r>
    </w:p>
    <w:p w14:paraId="0930EC3D">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4）评标委员会基于专业判断，认为供应商报价过低，有可能影响产品质量或者不能诚信履约的其他情形。</w:t>
      </w:r>
    </w:p>
    <w:p w14:paraId="7F5439C6">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30C4FE6">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4A4A99DC">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65706506">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异常低价投标（响应）审查的启动原因、审查意见和审查结果应当在评审报告中记录，并随供应商提供的相关书面说明及证明材料，以及评标委员会有关互联网浏览、查询历史一并归档。</w:t>
      </w:r>
    </w:p>
    <w:p w14:paraId="30CF53D9">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17.投标有效期</w:t>
      </w:r>
    </w:p>
    <w:p w14:paraId="3768938A">
      <w:pPr>
        <w:shd w:val="clear"/>
        <w:spacing w:line="360" w:lineRule="auto"/>
        <w:ind w:firstLine="420" w:firstLineChars="200"/>
        <w:rPr>
          <w:rFonts w:hint="eastAsia" w:ascii="宋体" w:hAnsi="宋体" w:cs="宋体"/>
          <w:bCs/>
          <w:color w:val="auto"/>
          <w:szCs w:val="21"/>
          <w:highlight w:val="none"/>
        </w:rPr>
      </w:pPr>
      <w:bookmarkStart w:id="115" w:name="_17.1投标有效期应按“投标人须知中的前附表”规定的期限。"/>
      <w:bookmarkEnd w:id="115"/>
      <w:r>
        <w:rPr>
          <w:rFonts w:hint="eastAsia" w:ascii="宋体" w:hAnsi="宋体" w:cs="宋体"/>
          <w:bCs/>
          <w:color w:val="auto"/>
          <w:szCs w:val="21"/>
          <w:highlight w:val="none"/>
        </w:rPr>
        <w:t>17.1投标有效期是指为保证招标人有足够的时间在开标后完成评标、定标、合同签订等工作而要求投标人提交的投标文件在一定时间内保持有效的期限。</w:t>
      </w:r>
    </w:p>
    <w:p w14:paraId="45F5A96C">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17.2</w:t>
      </w:r>
      <w:bookmarkStart w:id="116" w:name="_Toc254970540"/>
      <w:bookmarkStart w:id="117" w:name="_Toc254970681"/>
      <w:r>
        <w:rPr>
          <w:rFonts w:hint="eastAsia" w:ascii="宋体" w:hAnsi="宋体" w:cs="宋体"/>
          <w:bCs/>
          <w:color w:val="auto"/>
          <w:szCs w:val="21"/>
          <w:highlight w:val="none"/>
        </w:rPr>
        <w:t xml:space="preserve"> 投标有效期应按规定的期限作出承诺，具体详见“投标人须知前附表”。</w:t>
      </w:r>
    </w:p>
    <w:p w14:paraId="0587F591">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17.3投标人的投标文件在投标有效期内均保持有效。</w:t>
      </w:r>
      <w:bookmarkEnd w:id="116"/>
      <w:bookmarkEnd w:id="117"/>
    </w:p>
    <w:p w14:paraId="10E881DE">
      <w:pPr>
        <w:shd w:val="clear"/>
        <w:spacing w:line="360" w:lineRule="auto"/>
        <w:ind w:firstLine="420" w:firstLineChars="200"/>
        <w:rPr>
          <w:rFonts w:hint="eastAsia" w:ascii="宋体" w:hAnsi="宋体" w:cs="宋体"/>
          <w:color w:val="auto"/>
          <w:szCs w:val="21"/>
          <w:highlight w:val="none"/>
        </w:rPr>
      </w:pPr>
      <w:bookmarkStart w:id="118" w:name="_18.投标保证金"/>
      <w:bookmarkEnd w:id="118"/>
      <w:bookmarkStart w:id="119" w:name="_Toc254970541"/>
      <w:bookmarkStart w:id="120" w:name="_Toc254970682"/>
      <w:r>
        <w:rPr>
          <w:rFonts w:hint="eastAsia" w:ascii="宋体" w:hAnsi="宋体" w:cs="宋体"/>
          <w:color w:val="auto"/>
          <w:szCs w:val="21"/>
          <w:highlight w:val="none"/>
        </w:rPr>
        <w:t>18.投标保证金</w:t>
      </w:r>
      <w:bookmarkEnd w:id="119"/>
      <w:bookmarkEnd w:id="120"/>
    </w:p>
    <w:p w14:paraId="0751AE77">
      <w:pPr>
        <w:shd w:val="clear"/>
        <w:spacing w:line="360" w:lineRule="auto"/>
        <w:ind w:firstLine="420" w:firstLineChars="200"/>
        <w:rPr>
          <w:rFonts w:hint="eastAsia" w:ascii="宋体" w:hAnsi="宋体" w:cs="宋体"/>
          <w:color w:val="auto"/>
          <w:szCs w:val="21"/>
          <w:highlight w:val="none"/>
        </w:rPr>
      </w:pPr>
      <w:bookmarkStart w:id="121" w:name="_Toc254970683"/>
      <w:bookmarkStart w:id="122" w:name="_Toc254970542"/>
      <w:r>
        <w:rPr>
          <w:rFonts w:hint="eastAsia" w:ascii="宋体" w:hAnsi="宋体" w:cs="宋体"/>
          <w:color w:val="auto"/>
          <w:szCs w:val="21"/>
          <w:highlight w:val="none"/>
        </w:rPr>
        <w:t>18.1投标人须按“投标人须知前附表” 的规定提交投标保证金。</w:t>
      </w:r>
    </w:p>
    <w:p w14:paraId="5B3AD5E8">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18.2投标保证金的退还</w:t>
      </w:r>
    </w:p>
    <w:p w14:paraId="2CD1728C">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18.2.1未中标人的投标保证金自中标通知书发出之日起5个工作日内退还，退还方式如下：</w:t>
      </w:r>
    </w:p>
    <w:p w14:paraId="708DB20F">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（1）采用银行转账方式的，以转账方式退回到投标人银行账户。</w:t>
      </w:r>
    </w:p>
    <w:p w14:paraId="71B3AF28">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（2）采用支票、汇票、本票或者金融机构、担保机构出具的保函等方式的，由投标人代表持相关授权证明材料至采购代理机构办理支票、汇票、本票或者金融机构、担保机构出具的保函等原件退还手续。</w:t>
      </w:r>
    </w:p>
    <w:p w14:paraId="0078C319">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18.2.2中标人的投标保证金自采购合同签订之日起5个工作日内退还，退还方式同本须知正文第18.2.1。 </w:t>
      </w:r>
    </w:p>
    <w:p w14:paraId="3AAA63D0">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18.3除逾期退还投标保证金和终止招标的情形以外，投标保证金不计息。</w:t>
      </w:r>
    </w:p>
    <w:p w14:paraId="70FBC550">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18.4投标人有下列情形之一的，投标保证金将不予退还： </w:t>
      </w:r>
    </w:p>
    <w:p w14:paraId="6C60335D">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（1）投标人在投标有效期内撤销投标文件的；</w:t>
      </w:r>
    </w:p>
    <w:p w14:paraId="712529C7">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（2）未按规定提交履约保证金的；</w:t>
      </w:r>
    </w:p>
    <w:p w14:paraId="400A8E68">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（3）投标人在投标过程中弄虚作假，提供虚假材料的；</w:t>
      </w:r>
    </w:p>
    <w:p w14:paraId="54F6C90F">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（4）中标人无正当理由不与招标人签订合同的；</w:t>
      </w:r>
    </w:p>
    <w:p w14:paraId="11AC4784">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（5）投标人出现本章第9.2、9.3情形的；</w:t>
      </w:r>
    </w:p>
    <w:p w14:paraId="66B04A8C">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（6）其他严重扰乱招投标程序的。</w:t>
      </w:r>
    </w:p>
    <w:p w14:paraId="0724A615">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19.投标文件的</w:t>
      </w:r>
      <w:bookmarkEnd w:id="121"/>
      <w:bookmarkEnd w:id="122"/>
      <w:r>
        <w:rPr>
          <w:rFonts w:hint="eastAsia" w:ascii="宋体" w:hAnsi="宋体" w:cs="宋体"/>
          <w:color w:val="auto"/>
          <w:szCs w:val="21"/>
          <w:highlight w:val="none"/>
        </w:rPr>
        <w:t>编制</w:t>
      </w:r>
    </w:p>
    <w:p w14:paraId="4E9E4B70">
      <w:pPr>
        <w:shd w:val="clea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19.1投标文件编制要求详见“投标人须知前附表”。投标人应按本招标文件规定的格式和顺序编制并标注页码，投标文件内容不完整、编排混乱导致投标文件被误读、漏读或者查找不到相关内容的，由此引发的后果由投标人承担。</w:t>
      </w:r>
      <w:bookmarkStart w:id="123" w:name="_19.2投标文件应按报价文件、资格证明文件、商务文件、技术文件分别编制"/>
      <w:bookmarkEnd w:id="123"/>
      <w:r>
        <w:rPr>
          <w:rFonts w:hint="eastAsia" w:ascii="宋体" w:hAnsi="宋体" w:cs="宋体"/>
          <w:color w:val="auto"/>
          <w:szCs w:val="21"/>
          <w:highlight w:val="none"/>
        </w:rPr>
        <w:t xml:space="preserve"> </w:t>
      </w:r>
    </w:p>
    <w:p w14:paraId="52723DE5">
      <w:pPr>
        <w:pStyle w:val="121"/>
        <w:shd w:val="clear"/>
        <w:snapToGrid w:val="0"/>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19.2投标文件按照招标文件第六章格式要求在规定位置进行签署、盖章。投标人的投标文件未按照招标文件要求签署、盖章的，</w:t>
      </w:r>
      <w:r>
        <w:rPr>
          <w:rFonts w:hint="eastAsia" w:ascii="宋体" w:hAnsi="宋体" w:cs="宋体"/>
          <w:b/>
          <w:color w:val="auto"/>
          <w:sz w:val="21"/>
          <w:szCs w:val="21"/>
          <w:highlight w:val="none"/>
        </w:rPr>
        <w:t>其投标无效。</w:t>
      </w:r>
      <w:r>
        <w:rPr>
          <w:rFonts w:hint="eastAsia" w:ascii="宋体" w:hAnsi="宋体" w:cs="宋体"/>
          <w:color w:val="auto"/>
          <w:sz w:val="21"/>
          <w:szCs w:val="21"/>
          <w:highlight w:val="none"/>
        </w:rPr>
        <w:t>骑缝盖公章不视为在规定位置盖章。</w:t>
      </w:r>
    </w:p>
    <w:p w14:paraId="74031CFB">
      <w:pPr>
        <w:pStyle w:val="121"/>
        <w:shd w:val="clear"/>
        <w:snapToGrid w:val="0"/>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19.3为确保网上操作合法、有效和安全，投标人应当在提交投标文件截止时间前完成在“广西政府采购云平台”平台的身份认证，确保在电子投标过程中能够对相关数据电文进行加密和使用电子签名。</w:t>
      </w:r>
    </w:p>
    <w:p w14:paraId="704CF9C3">
      <w:pPr>
        <w:shd w:val="clea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cs="宋体"/>
          <w:color w:val="auto"/>
          <w:szCs w:val="21"/>
          <w:highlight w:val="none"/>
        </w:rPr>
        <w:t>否则作无效投标处理</w:t>
      </w:r>
      <w:r>
        <w:rPr>
          <w:rFonts w:hint="eastAsia" w:ascii="宋体" w:hAnsi="宋体" w:cs="宋体"/>
          <w:b/>
          <w:color w:val="auto"/>
          <w:szCs w:val="21"/>
          <w:highlight w:val="none"/>
        </w:rPr>
        <w:t>。</w:t>
      </w:r>
    </w:p>
    <w:p w14:paraId="20C8E9EE">
      <w:pPr>
        <w:shd w:val="clea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 xml:space="preserve"> 19.5投标文件应避免涂改、行间插字或者删除</w:t>
      </w:r>
      <w:r>
        <w:rPr>
          <w:rFonts w:hint="eastAsia" w:ascii="宋体" w:hAnsi="宋体" w:cs="宋体"/>
          <w:b/>
          <w:color w:val="auto"/>
          <w:szCs w:val="21"/>
          <w:highlight w:val="none"/>
        </w:rPr>
        <w:t>。</w:t>
      </w:r>
    </w:p>
    <w:p w14:paraId="6B0E7650">
      <w:pPr>
        <w:shd w:val="clear"/>
        <w:spacing w:line="360" w:lineRule="auto"/>
        <w:ind w:firstLine="520" w:firstLineChars="248"/>
        <w:rPr>
          <w:rFonts w:hint="eastAsia" w:ascii="宋体" w:hAnsi="宋体" w:cs="宋体"/>
          <w:color w:val="auto"/>
          <w:szCs w:val="21"/>
          <w:highlight w:val="none"/>
        </w:rPr>
      </w:pPr>
      <w:r>
        <w:rPr>
          <w:rFonts w:hint="eastAsia" w:ascii="宋体" w:hAnsi="宋体" w:cs="宋体"/>
          <w:color w:val="auto"/>
          <w:szCs w:val="21"/>
          <w:highlight w:val="none"/>
        </w:rPr>
        <w:t>19.6 对招标文件的实质性要求和条件作出响应是指投标人必须对招标文件中标注为实质性要求和条件的服务内容及要求、商务条款及其它内容</w:t>
      </w:r>
      <w:r>
        <w:rPr>
          <w:rFonts w:hint="eastAsia" w:ascii="宋体" w:hAnsi="宋体" w:cs="宋体"/>
          <w:b/>
          <w:color w:val="auto"/>
          <w:szCs w:val="21"/>
          <w:highlight w:val="none"/>
        </w:rPr>
        <w:t>作出满足或者优于原要求和条件的承诺</w:t>
      </w:r>
      <w:r>
        <w:rPr>
          <w:rFonts w:hint="eastAsia" w:ascii="宋体" w:hAnsi="宋体" w:cs="宋体"/>
          <w:color w:val="auto"/>
          <w:szCs w:val="21"/>
          <w:highlight w:val="none"/>
        </w:rPr>
        <w:t>。</w:t>
      </w:r>
    </w:p>
    <w:p w14:paraId="6287561C">
      <w:pPr>
        <w:shd w:val="clear"/>
        <w:spacing w:line="360" w:lineRule="auto"/>
        <w:ind w:firstLine="422" w:firstLineChars="200"/>
        <w:rPr>
          <w:rFonts w:hint="eastAsia" w:ascii="宋体" w:hAnsi="宋体" w:cs="宋体"/>
          <w:b/>
          <w:color w:val="auto"/>
          <w:szCs w:val="21"/>
          <w:highlight w:val="none"/>
          <w:u w:val="single"/>
        </w:rPr>
      </w:pPr>
      <w:r>
        <w:rPr>
          <w:rFonts w:hint="eastAsia" w:ascii="宋体" w:hAnsi="宋体" w:cs="宋体"/>
          <w:b/>
          <w:color w:val="auto"/>
          <w:szCs w:val="21"/>
          <w:highlight w:val="none"/>
          <w:u w:val="single"/>
        </w:rPr>
        <w:t>19.7本项目为全流程电子化项目，异常情况见“第二节 投标人须知正文”中“四、24.2开标程序。</w:t>
      </w:r>
    </w:p>
    <w:p w14:paraId="794B4662">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20.备份投标文件</w:t>
      </w:r>
    </w:p>
    <w:p w14:paraId="70BB8A9A">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bCs/>
          <w:color w:val="auto"/>
          <w:szCs w:val="21"/>
          <w:highlight w:val="none"/>
        </w:rPr>
        <w:t>无。</w:t>
      </w:r>
    </w:p>
    <w:p w14:paraId="77C07078">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21.投标文件的提交</w:t>
      </w:r>
    </w:p>
    <w:p w14:paraId="7053D298">
      <w:pPr>
        <w:shd w:val="clear"/>
        <w:spacing w:line="360" w:lineRule="auto"/>
        <w:ind w:firstLine="420" w:firstLineChars="200"/>
        <w:rPr>
          <w:rFonts w:hint="eastAsia" w:ascii="宋体" w:hAnsi="宋体" w:cs="宋体"/>
          <w:b/>
          <w:color w:val="auto"/>
          <w:szCs w:val="21"/>
          <w:highlight w:val="none"/>
        </w:rPr>
      </w:pPr>
      <w:bookmarkStart w:id="124" w:name="_21.1投标人必须在“投标人须知中的前附表”规定的投标文件接收时间和投"/>
      <w:bookmarkEnd w:id="124"/>
      <w:r>
        <w:rPr>
          <w:rFonts w:hint="eastAsia" w:ascii="宋体" w:hAnsi="宋体" w:cs="宋体"/>
          <w:bCs/>
          <w:color w:val="auto"/>
          <w:szCs w:val="21"/>
          <w:highlight w:val="none"/>
        </w:rPr>
        <w:t>21.1投标人必须在“投标人须知前附表”规定的投标文件提交时间和投标地点提交电子版投标文件。电子投标文件应在制作完成后，在提交投标</w:t>
      </w:r>
      <w:r>
        <w:rPr>
          <w:rFonts w:hint="eastAsia" w:ascii="宋体" w:hAnsi="宋体" w:cs="宋体"/>
          <w:color w:val="auto"/>
          <w:szCs w:val="21"/>
          <w:highlight w:val="none"/>
        </w:rPr>
        <w:t>文件</w:t>
      </w:r>
      <w:r>
        <w:rPr>
          <w:rFonts w:hint="eastAsia" w:ascii="宋体" w:hAnsi="宋体" w:cs="宋体"/>
          <w:bCs/>
          <w:color w:val="auto"/>
          <w:szCs w:val="21"/>
          <w:highlight w:val="none"/>
        </w:rPr>
        <w:t xml:space="preserve">截止时间前通过有效数字证书（CA认证锁）进行电子签章、加密，然后通过网络将加密的电子投标文件递交至“广西政府采购云平台”。 </w:t>
      </w:r>
      <w:r>
        <w:rPr>
          <w:rFonts w:hint="eastAsia" w:ascii="宋体" w:hAnsi="宋体" w:cs="宋体"/>
          <w:b/>
          <w:color w:val="auto"/>
          <w:szCs w:val="21"/>
          <w:highlight w:val="none"/>
        </w:rPr>
        <w:t xml:space="preserve"> </w:t>
      </w:r>
    </w:p>
    <w:p w14:paraId="33F4DD53">
      <w:pPr>
        <w:shd w:val="clea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21.2未在规定时间内提交或者未按照招标文件要求密封或者标记的电子投标文件，“广西政府采购云平台”平台将拒收。</w:t>
      </w:r>
    </w:p>
    <w:p w14:paraId="18EB7EF7">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21.3电子版投标文件提交方式见“招标公告”中“四、提交投标文件截止时间、开标时间和地点”</w:t>
      </w:r>
      <w:r>
        <w:rPr>
          <w:rFonts w:hint="eastAsia" w:ascii="宋体" w:hAnsi="宋体" w:cs="宋体"/>
          <w:b/>
          <w:color w:val="auto"/>
          <w:szCs w:val="21"/>
          <w:highlight w:val="none"/>
        </w:rPr>
        <w:t xml:space="preserve"> 。</w:t>
      </w:r>
    </w:p>
    <w:p w14:paraId="1828C39B">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 投标文件的补充、修改、撤回与退回</w:t>
      </w:r>
      <w:bookmarkStart w:id="125" w:name="_Toc254970543"/>
      <w:bookmarkStart w:id="126" w:name="_Toc254970684"/>
    </w:p>
    <w:p w14:paraId="4E869188">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22.1 投标人应当在提交投标文件截止时间前完成投标文件的传输递交，并可以补充、修改或者撤回投标文件。补充或者修改投标文件的，应当先行撤回原文件，补充、修改后重新传输递交。提交投标文件截止时间前未完成传输的，视为撤回投标文件。提交投标文件截止时间后递交的投标文件，“广西政府采购云平台”平台将拒收。</w:t>
      </w:r>
    </w:p>
    <w:p w14:paraId="024C4575">
      <w:pPr>
        <w:pStyle w:val="121"/>
        <w:shd w:val="clear"/>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22.2“广西政府采购云平台”平台收到投标文件，将妥善保存并即时向投标人发出确认回执通知。在提交投标文件截止时间前，除投标人补充、修改或者撤回投标文件外，任何单位和个人不得解密或提取投标文件。</w:t>
      </w:r>
    </w:p>
    <w:bookmarkEnd w:id="125"/>
    <w:bookmarkEnd w:id="126"/>
    <w:p w14:paraId="0BB0F8BB">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22.3在提交投标文件截止时间止提交电子版投标文件的投标人不足3家时，电子版投标文件由采购代理机构在“广西政府采购云平台”平台操作退回，除此之外招标人和采购代理机构对已提交的投标文件概不退回。</w:t>
      </w:r>
    </w:p>
    <w:p w14:paraId="66F631DB">
      <w:pPr>
        <w:shd w:val="clear"/>
        <w:snapToGrid w:val="0"/>
        <w:spacing w:line="400" w:lineRule="exact"/>
        <w:ind w:firstLine="739"/>
        <w:rPr>
          <w:rFonts w:hint="eastAsia" w:ascii="宋体" w:hAnsi="宋体"/>
          <w:snapToGrid w:val="0"/>
          <w:color w:val="auto"/>
          <w:spacing w:val="-4"/>
          <w:szCs w:val="21"/>
          <w:highlight w:val="none"/>
        </w:rPr>
      </w:pPr>
    </w:p>
    <w:p w14:paraId="65AEAB4F">
      <w:pPr>
        <w:shd w:val="clear"/>
        <w:spacing w:line="400" w:lineRule="exact"/>
        <w:ind w:firstLine="643" w:firstLineChars="200"/>
        <w:jc w:val="center"/>
        <w:outlineLvl w:val="2"/>
        <w:rPr>
          <w:b/>
          <w:bCs/>
          <w:color w:val="auto"/>
          <w:sz w:val="32"/>
          <w:szCs w:val="32"/>
          <w:highlight w:val="none"/>
        </w:rPr>
      </w:pPr>
      <w:bookmarkStart w:id="127" w:name="_Toc254970685"/>
      <w:bookmarkStart w:id="128" w:name="_Toc254970544"/>
      <w:bookmarkStart w:id="129" w:name="_Toc9091"/>
      <w:r>
        <w:rPr>
          <w:rFonts w:hint="eastAsia"/>
          <w:b/>
          <w:bCs/>
          <w:color w:val="auto"/>
          <w:sz w:val="32"/>
          <w:szCs w:val="32"/>
          <w:highlight w:val="none"/>
        </w:rPr>
        <w:t>四、开    标</w:t>
      </w:r>
      <w:bookmarkEnd w:id="127"/>
      <w:bookmarkEnd w:id="128"/>
      <w:bookmarkEnd w:id="129"/>
    </w:p>
    <w:p w14:paraId="5CB21303">
      <w:pPr>
        <w:shd w:val="clear"/>
        <w:spacing w:line="360" w:lineRule="auto"/>
        <w:ind w:firstLine="420" w:firstLineChars="200"/>
        <w:rPr>
          <w:rFonts w:hint="eastAsia" w:ascii="宋体" w:hAnsi="宋体" w:cs="宋体"/>
          <w:color w:val="auto"/>
          <w:szCs w:val="21"/>
          <w:highlight w:val="none"/>
        </w:rPr>
      </w:pPr>
      <w:bookmarkStart w:id="130" w:name="_23.开标时间和地点"/>
      <w:bookmarkEnd w:id="130"/>
      <w:r>
        <w:rPr>
          <w:rFonts w:hint="eastAsia" w:ascii="宋体" w:hAnsi="宋体" w:cs="宋体"/>
          <w:color w:val="auto"/>
          <w:szCs w:val="21"/>
          <w:highlight w:val="none"/>
        </w:rPr>
        <w:t>23.开标时间和地点</w:t>
      </w:r>
    </w:p>
    <w:p w14:paraId="189E818B">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23.1开标时间及地点详见“投标人须知前附表”</w:t>
      </w:r>
    </w:p>
    <w:p w14:paraId="7DBD896D">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23.2如</w:t>
      </w:r>
      <w:r>
        <w:rPr>
          <w:rFonts w:hint="eastAsia" w:ascii="宋体" w:hAnsi="宋体" w:cs="宋体"/>
          <w:bCs/>
          <w:color w:val="auto"/>
          <w:szCs w:val="21"/>
          <w:highlight w:val="none"/>
        </w:rPr>
        <w:t>投标人成功解密投标文件，但未在“广西政府采购云平台”电子开标大厅参加开标的，视同认可开标过程和结果，</w:t>
      </w:r>
      <w:r>
        <w:rPr>
          <w:rFonts w:hint="eastAsia" w:ascii="宋体" w:hAnsi="宋体" w:cs="宋体"/>
          <w:color w:val="auto"/>
          <w:szCs w:val="21"/>
          <w:highlight w:val="none"/>
        </w:rPr>
        <w:t>由此产生的后果由投标人自行负责。 投标人不足3家的，不得开标。</w:t>
      </w:r>
    </w:p>
    <w:p w14:paraId="1E2E5BD3">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24.开标程序</w:t>
      </w:r>
    </w:p>
    <w:p w14:paraId="00EE7A88">
      <w:pPr>
        <w:shd w:val="clear"/>
        <w:autoSpaceDE w:val="0"/>
        <w:autoSpaceDN w:val="0"/>
        <w:adjustRightInd w:val="0"/>
        <w:spacing w:line="440" w:lineRule="exact"/>
        <w:ind w:firstLine="420" w:firstLineChars="200"/>
        <w:rPr>
          <w:rFonts w:hint="eastAsia" w:ascii="宋体" w:hAnsi="宋体" w:cs="宋体"/>
          <w:color w:val="auto"/>
          <w:kern w:val="0"/>
          <w:szCs w:val="21"/>
          <w:highlight w:val="none"/>
        </w:rPr>
      </w:pPr>
      <w:r>
        <w:rPr>
          <w:rFonts w:hint="eastAsia" w:ascii="宋体" w:hAnsi="宋体" w:cs="宋体"/>
          <w:bCs/>
          <w:color w:val="auto"/>
          <w:szCs w:val="21"/>
          <w:highlight w:val="none"/>
        </w:rPr>
        <w:t>24.1</w:t>
      </w:r>
      <w:r>
        <w:rPr>
          <w:rFonts w:hint="eastAsia" w:ascii="宋体" w:hAnsi="宋体" w:cs="宋体"/>
          <w:color w:val="auto"/>
          <w:kern w:val="0"/>
          <w:szCs w:val="21"/>
          <w:highlight w:val="none"/>
        </w:rPr>
        <w:t>开标形式：</w:t>
      </w:r>
    </w:p>
    <w:p w14:paraId="6F7A5F64">
      <w:pPr>
        <w:shd w:val="clear"/>
        <w:autoSpaceDE w:val="0"/>
        <w:autoSpaceDN w:val="0"/>
        <w:adjustRightInd w:val="0"/>
        <w:spacing w:line="440" w:lineRule="exact"/>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（1）</w:t>
      </w:r>
      <w:r>
        <w:rPr>
          <w:rFonts w:hint="eastAsia" w:ascii="宋体" w:hAnsi="宋体" w:cs="宋体"/>
          <w:bCs/>
          <w:color w:val="auto"/>
          <w:szCs w:val="21"/>
          <w:highlight w:val="none"/>
        </w:rPr>
        <w:t>开标的准备工作由采购代理机构负责落实，采购代理机构必须基于“广西政府采购云平台”平台依法抽取评审专家，如采购代理机构未按规定依法抽取专家的，视为本次开评标无效，应当重新采购；</w:t>
      </w:r>
    </w:p>
    <w:p w14:paraId="1CE20BE8">
      <w:pPr>
        <w:shd w:val="clear"/>
        <w:autoSpaceDE w:val="0"/>
        <w:autoSpaceDN w:val="0"/>
        <w:adjustRightInd w:val="0"/>
        <w:spacing w:line="44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采购代理机构将按照招标文件规定的时间通过“广西政府采购云平台”平台组织线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6D3752C0">
      <w:pPr>
        <w:shd w:val="clear"/>
        <w:autoSpaceDE w:val="0"/>
        <w:autoSpaceDN w:val="0"/>
        <w:adjustRightInd w:val="0"/>
        <w:spacing w:line="44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24.2开标程序：</w:t>
      </w:r>
    </w:p>
    <w:p w14:paraId="0E8ED825">
      <w:pPr>
        <w:shd w:val="clea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（1）解密电子投标文件。“</w:t>
      </w:r>
      <w:r>
        <w:rPr>
          <w:rFonts w:hint="eastAsia" w:ascii="宋体" w:hAnsi="宋体" w:cs="宋体"/>
          <w:color w:val="auto"/>
          <w:szCs w:val="21"/>
          <w:highlight w:val="none"/>
        </w:rPr>
        <w:t>广西政府采购云平台”平台按开标时间自动提取所有投标文件。采购代理机构依托“广西政府采购云平台”平台向各投标人发出电子加密投标文件【开始解密】通知，由投标人按招标文件规定的时间内自行进行投标文件解密。投标人的法定代表人或其委托代理人</w:t>
      </w:r>
      <w:r>
        <w:rPr>
          <w:rFonts w:hint="eastAsia" w:ascii="宋体" w:hAnsi="宋体" w:cs="宋体"/>
          <w:b/>
          <w:color w:val="auto"/>
          <w:szCs w:val="21"/>
          <w:highlight w:val="none"/>
        </w:rPr>
        <w:t>须携带加密时所用的CA锁准时登录到“广西政府采购云平台”平台电子开标大厅签到并对电子投标文件解密。投标人未在规定的时间内解密投标文件或者解密失败的，投标人的投标文件作无效处理。</w:t>
      </w:r>
    </w:p>
    <w:p w14:paraId="4339A2A7">
      <w:pPr>
        <w:shd w:val="clea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（解密</w:t>
      </w:r>
      <w:r>
        <w:rPr>
          <w:rFonts w:hint="eastAsia" w:ascii="宋体" w:hAnsi="宋体" w:cs="宋体"/>
          <w:bCs/>
          <w:color w:val="auto"/>
          <w:szCs w:val="21"/>
          <w:highlight w:val="none"/>
        </w:rPr>
        <w:t>异常情况处理：详见本章</w:t>
      </w:r>
      <w:r>
        <w:rPr>
          <w:rFonts w:hint="eastAsia" w:ascii="宋体" w:hAnsi="宋体" w:cs="宋体"/>
          <w:color w:val="auto"/>
          <w:szCs w:val="21"/>
          <w:highlight w:val="none"/>
        </w:rPr>
        <w:t>29.3 电子交易活动的中止。）</w:t>
      </w:r>
    </w:p>
    <w:p w14:paraId="62701BF5">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color w:val="auto"/>
          <w:szCs w:val="21"/>
          <w:highlight w:val="none"/>
        </w:rPr>
        <w:t>电子唱标。</w:t>
      </w:r>
      <w:r>
        <w:rPr>
          <w:rFonts w:hint="eastAsia" w:ascii="宋体" w:hAnsi="宋体" w:cs="宋体"/>
          <w:color w:val="auto"/>
          <w:szCs w:val="21"/>
          <w:highlight w:val="none"/>
        </w:rPr>
        <w:t>投标文件解密结束，各投标人报价均在“广西政府采购云平台”平台远程不见面开标大厅展示；</w:t>
      </w:r>
    </w:p>
    <w:p w14:paraId="0ECA64FD">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（3）开标过程由采购代理机构如实记录，并电子留痕，由参加电子开标的各投标人代表对电子开标记录在开标记录公布后15分钟内进行当场校核及勘误，并线上确认，未确认的视同认可开标结果。</w:t>
      </w:r>
    </w:p>
    <w:p w14:paraId="1ABA8221">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投标人代表对开标过程和开标记录有疑义，以及认为招标人、采购代理机构相关工作人员有需要回避的情形的，应当场提出在线询问或者回避申请。招标人、采购代理机构对投标人代表提出的询问或者回避申请应当及时处理。</w:t>
      </w:r>
    </w:p>
    <w:p w14:paraId="228A8DA7">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（5）开标结束。</w:t>
      </w:r>
    </w:p>
    <w:p w14:paraId="259A9C5D">
      <w:pPr>
        <w:shd w:val="clear"/>
        <w:snapToGrid w:val="0"/>
        <w:spacing w:line="44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特别说明：</w:t>
      </w:r>
      <w:r>
        <w:rPr>
          <w:rFonts w:hint="eastAsia" w:ascii="宋体" w:hAnsi="宋体" w:cs="宋体"/>
          <w:color w:val="auto"/>
          <w:szCs w:val="21"/>
          <w:highlight w:val="none"/>
        </w:rPr>
        <w:t>如遇“广西政府采购云平台”平台电子化开标或评审程序调整的，按调整后执行。</w:t>
      </w:r>
    </w:p>
    <w:p w14:paraId="7A676458">
      <w:pPr>
        <w:shd w:val="clear"/>
        <w:snapToGrid w:val="0"/>
        <w:spacing w:line="400" w:lineRule="exact"/>
        <w:ind w:left="689" w:leftChars="228" w:hanging="210" w:hangingChars="100"/>
        <w:rPr>
          <w:rFonts w:hint="eastAsia" w:ascii="宋体" w:hAnsi="宋体"/>
          <w:color w:val="auto"/>
          <w:szCs w:val="20"/>
          <w:highlight w:val="none"/>
        </w:rPr>
      </w:pPr>
    </w:p>
    <w:p w14:paraId="4E453052">
      <w:pPr>
        <w:shd w:val="clear"/>
        <w:spacing w:line="400" w:lineRule="exact"/>
        <w:ind w:firstLine="643" w:firstLineChars="200"/>
        <w:jc w:val="center"/>
        <w:outlineLvl w:val="2"/>
        <w:rPr>
          <w:b/>
          <w:bCs/>
          <w:color w:val="auto"/>
          <w:sz w:val="32"/>
          <w:szCs w:val="32"/>
          <w:highlight w:val="none"/>
        </w:rPr>
      </w:pPr>
      <w:bookmarkStart w:id="131" w:name="_Toc3182"/>
      <w:r>
        <w:rPr>
          <w:rFonts w:hint="eastAsia"/>
          <w:b/>
          <w:bCs/>
          <w:color w:val="auto"/>
          <w:sz w:val="32"/>
          <w:szCs w:val="32"/>
          <w:highlight w:val="none"/>
        </w:rPr>
        <w:t>五、资格审查</w:t>
      </w:r>
      <w:bookmarkEnd w:id="131"/>
    </w:p>
    <w:p w14:paraId="501167BF">
      <w:pPr>
        <w:shd w:val="clear"/>
        <w:spacing w:line="360" w:lineRule="auto"/>
        <w:ind w:firstLine="482" w:firstLineChars="200"/>
        <w:outlineLvl w:val="4"/>
        <w:rPr>
          <w:rFonts w:hint="eastAsia" w:ascii="宋体" w:hAnsi="宋体" w:cs="宋体"/>
          <w:b/>
          <w:bCs/>
          <w:color w:val="auto"/>
          <w:sz w:val="24"/>
          <w:szCs w:val="28"/>
          <w:highlight w:val="none"/>
        </w:rPr>
      </w:pPr>
      <w:r>
        <w:rPr>
          <w:rFonts w:hint="eastAsia" w:ascii="宋体" w:hAnsi="宋体" w:cs="宋体"/>
          <w:b/>
          <w:bCs/>
          <w:color w:val="auto"/>
          <w:sz w:val="24"/>
          <w:szCs w:val="28"/>
          <w:highlight w:val="none"/>
        </w:rPr>
        <w:t>25.资格审查</w:t>
      </w:r>
    </w:p>
    <w:p w14:paraId="429D7378">
      <w:pPr>
        <w:shd w:val="clear"/>
        <w:spacing w:line="360" w:lineRule="auto"/>
        <w:ind w:firstLine="422" w:firstLineChars="200"/>
        <w:rPr>
          <w:rFonts w:hint="eastAsia" w:ascii="宋体" w:hAnsi="宋体" w:cs="宋体"/>
          <w:b/>
          <w:bCs/>
          <w:color w:val="auto"/>
          <w:szCs w:val="20"/>
          <w:highlight w:val="none"/>
        </w:rPr>
      </w:pPr>
      <w:r>
        <w:rPr>
          <w:rFonts w:hint="eastAsia" w:ascii="宋体" w:hAnsi="宋体" w:cs="宋体"/>
          <w:b/>
          <w:bCs/>
          <w:color w:val="auto"/>
          <w:szCs w:val="20"/>
          <w:highlight w:val="none"/>
        </w:rPr>
        <w:t xml:space="preserve"> 25.1开标结束后，招标人或采购代理机构依法通过电子投标文件对投标人的资格进行线上审查。</w:t>
      </w:r>
    </w:p>
    <w:p w14:paraId="0DDA4CCE">
      <w:pPr>
        <w:shd w:val="clear"/>
        <w:spacing w:line="360" w:lineRule="auto"/>
        <w:ind w:firstLine="422" w:firstLineChars="200"/>
        <w:rPr>
          <w:rFonts w:hint="eastAsia" w:ascii="宋体" w:hAnsi="宋体" w:cs="宋体"/>
          <w:b/>
          <w:bCs/>
          <w:color w:val="auto"/>
          <w:szCs w:val="20"/>
          <w:highlight w:val="none"/>
        </w:rPr>
      </w:pPr>
      <w:r>
        <w:rPr>
          <w:rFonts w:hint="eastAsia" w:ascii="宋体" w:hAnsi="宋体" w:cs="宋体"/>
          <w:b/>
          <w:bCs/>
          <w:color w:val="auto"/>
          <w:szCs w:val="20"/>
          <w:highlight w:val="none"/>
        </w:rPr>
        <w:t xml:space="preserve"> 25.2招标人或采购代理机构依据法律法规和招标文件的规定，对投标人的基本资格条件、特定资格条件进行审查。</w:t>
      </w:r>
    </w:p>
    <w:p w14:paraId="2074A041">
      <w:pPr>
        <w:shd w:val="clea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648D2D98">
      <w:pPr>
        <w:shd w:val="clear"/>
        <w:spacing w:line="360" w:lineRule="auto"/>
        <w:ind w:firstLine="422" w:firstLineChars="200"/>
        <w:rPr>
          <w:rFonts w:hint="eastAsia" w:ascii="宋体" w:hAnsi="宋体" w:cs="宋体"/>
          <w:b/>
          <w:bCs/>
          <w:color w:val="auto"/>
          <w:szCs w:val="20"/>
          <w:highlight w:val="none"/>
        </w:rPr>
      </w:pPr>
      <w:bookmarkStart w:id="132" w:name="_25.3_投标人有下列情形之一的，资格审查不通过而导致其投标无效："/>
      <w:bookmarkEnd w:id="132"/>
      <w:r>
        <w:rPr>
          <w:rFonts w:hint="eastAsia" w:ascii="宋体" w:hAnsi="宋体" w:cs="宋体"/>
          <w:b/>
          <w:bCs/>
          <w:color w:val="auto"/>
          <w:szCs w:val="20"/>
          <w:highlight w:val="none"/>
        </w:rPr>
        <w:t>25.4投标人有下列情形之一的，资格审查不通过，作无效投标处理：</w:t>
      </w:r>
    </w:p>
    <w:p w14:paraId="616C8193">
      <w:pPr>
        <w:shd w:val="clea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（1）不具备招标文件中规定的资格要求的；（注：其中信用查询规则见“投标人须知前附表”，“广西政府采购云平台”平台已与“信用中国”平台做接口，招标人代表可直接在线查询）</w:t>
      </w:r>
    </w:p>
    <w:p w14:paraId="0CDA99DB">
      <w:pPr>
        <w:shd w:val="clea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（2）投标文件未提供任一项“投标人须知前附表”资格证明文件规定的“必须提供”的文件资料的；</w:t>
      </w:r>
    </w:p>
    <w:p w14:paraId="3E415ACC">
      <w:pPr>
        <w:shd w:val="clea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（3）投标文件提供的资格证明文件出现任一项不符合“投标人须知前附表”资格证明文件规定的“必须提供”的文件资料要求或者无效的。</w:t>
      </w:r>
    </w:p>
    <w:p w14:paraId="21B913FE">
      <w:pPr>
        <w:shd w:val="clear"/>
        <w:spacing w:line="360" w:lineRule="auto"/>
        <w:ind w:firstLine="420" w:firstLineChars="200"/>
        <w:outlineLvl w:val="4"/>
        <w:rPr>
          <w:rFonts w:hint="eastAsia" w:ascii="宋体" w:hAnsi="宋体" w:cs="宋体"/>
          <w:color w:val="auto"/>
          <w:szCs w:val="20"/>
          <w:highlight w:val="none"/>
        </w:rPr>
      </w:pPr>
      <w:r>
        <w:rPr>
          <w:rFonts w:hint="eastAsia" w:ascii="宋体" w:hAnsi="宋体" w:cs="宋体"/>
          <w:color w:val="auto"/>
          <w:szCs w:val="20"/>
          <w:highlight w:val="none"/>
        </w:rPr>
        <w:t>25.5资格审查的合格投标人不足3家的，不得评标。</w:t>
      </w:r>
    </w:p>
    <w:p w14:paraId="44AE2C8E">
      <w:pPr>
        <w:shd w:val="clear"/>
        <w:spacing w:line="360" w:lineRule="auto"/>
        <w:ind w:firstLine="643" w:firstLineChars="200"/>
        <w:jc w:val="center"/>
        <w:outlineLvl w:val="2"/>
        <w:rPr>
          <w:b/>
          <w:bCs/>
          <w:color w:val="auto"/>
          <w:sz w:val="32"/>
          <w:szCs w:val="32"/>
          <w:highlight w:val="none"/>
        </w:rPr>
      </w:pPr>
      <w:bookmarkStart w:id="133" w:name="_Toc28469"/>
      <w:r>
        <w:rPr>
          <w:rFonts w:hint="eastAsia"/>
          <w:b/>
          <w:bCs/>
          <w:color w:val="auto"/>
          <w:sz w:val="32"/>
          <w:szCs w:val="32"/>
          <w:highlight w:val="none"/>
        </w:rPr>
        <w:t>六、评   标</w:t>
      </w:r>
      <w:bookmarkEnd w:id="133"/>
    </w:p>
    <w:p w14:paraId="7CAF4934">
      <w:pPr>
        <w:shd w:val="clear"/>
        <w:spacing w:line="360" w:lineRule="auto"/>
        <w:ind w:firstLine="420" w:firstLineChars="200"/>
        <w:rPr>
          <w:rFonts w:hint="eastAsia" w:ascii="宋体" w:hAnsi="宋体" w:cs="宋体"/>
          <w:color w:val="auto"/>
          <w:szCs w:val="21"/>
          <w:highlight w:val="none"/>
        </w:rPr>
      </w:pPr>
      <w:bookmarkStart w:id="134" w:name="_26.组建评标委员会"/>
      <w:bookmarkEnd w:id="134"/>
      <w:r>
        <w:rPr>
          <w:rFonts w:hint="eastAsia" w:ascii="宋体" w:hAnsi="宋体" w:cs="宋体"/>
          <w:color w:val="auto"/>
          <w:szCs w:val="21"/>
          <w:highlight w:val="none"/>
        </w:rPr>
        <w:t>26.组建评标委员会</w:t>
      </w:r>
    </w:p>
    <w:p w14:paraId="222FC1EC">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评标委员会由招标人代表和评审专家组成，人数为</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人或以上单数，其中评审专家不得少于成员总数的三分之二。</w:t>
      </w:r>
    </w:p>
    <w:p w14:paraId="416A0AE7">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参加过采购项目前期咨询论证的专家，不得参加该采购项目的评审活动。</w:t>
      </w:r>
    </w:p>
    <w:p w14:paraId="79C59072">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27.评标的依据</w:t>
      </w:r>
    </w:p>
    <w:p w14:paraId="5309BEC6">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评标委员会以招标文件为依据对投标文件进行评审，“第四章 评标方法和评分标准”没有规定的方法、评审因素和标准，不作为评标依据。</w:t>
      </w:r>
    </w:p>
    <w:p w14:paraId="0E3D50EF">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28.评标原则</w:t>
      </w:r>
    </w:p>
    <w:p w14:paraId="1ACE4138">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647E4C48">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28.2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35" w:name="_28.3评标方法。本项目将按须知前附表规定的评标办法进行评标，具体评标"/>
      <w:bookmarkEnd w:id="135"/>
    </w:p>
    <w:p w14:paraId="30A08511">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28.3评标的保密。招标人、采购代理机构应当采取必要措施，保证评标在严格保密（封闭式评标）的情况下进行。除招标人代表、评标现场组织人员外，招标人的其他工作人员以及与评标工作无关的人员不得进入评标现场。有关人员对评标情况以及在评标过程中获悉的国家秘密、商业秘密负有保密责任。</w:t>
      </w:r>
    </w:p>
    <w:p w14:paraId="73345DB0">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28.4评标过程的监控。本项目电子评标过程实行网上留痕、全程录音、录像监控，投标人在评标过程中所进行的试图影响评标结果的不公正活动，可能导致其投标按无效处理。</w:t>
      </w:r>
    </w:p>
    <w:p w14:paraId="03290B0C">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29.评标方法及评分标准</w:t>
      </w:r>
    </w:p>
    <w:p w14:paraId="02219113">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29.1本项目的评标方法详见“投标人须知前附表”。</w:t>
      </w:r>
    </w:p>
    <w:p w14:paraId="3D92EED5">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29.2 评标委员会按照</w:t>
      </w:r>
      <w:r>
        <w:rPr>
          <w:rFonts w:hint="eastAsia" w:ascii="宋体" w:hAnsi="宋体" w:cs="宋体"/>
          <w:b/>
          <w:color w:val="auto"/>
          <w:szCs w:val="21"/>
          <w:highlight w:val="none"/>
        </w:rPr>
        <w:t>“第四章 评标方法和评分标准”</w:t>
      </w:r>
      <w:r>
        <w:rPr>
          <w:rFonts w:hint="eastAsia" w:ascii="宋体" w:hAnsi="宋体" w:cs="宋体"/>
          <w:color w:val="auto"/>
          <w:szCs w:val="21"/>
          <w:highlight w:val="none"/>
        </w:rPr>
        <w:t>规定的方法、评审因素、标准和程序对投标文件进行评审。</w:t>
      </w:r>
    </w:p>
    <w:p w14:paraId="47612D67">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29.3 电子交易活动的中止。采购过程中出现以下情形，导致电子交易平台无法正常运行，或者无法保证电子交易的公平、公正和安全时，采购机构可中止电子交易活动：</w:t>
      </w:r>
    </w:p>
    <w:p w14:paraId="0C9E0EE2">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（1）电子交易平台发生故障而无法登录访问的； </w:t>
      </w:r>
    </w:p>
    <w:p w14:paraId="49BCB353">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（2）电子交易平台应用或数据库出现错误，不能进行正常操作的；</w:t>
      </w:r>
    </w:p>
    <w:p w14:paraId="62C95520">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（3）电子交易平台发现严重安全漏洞，有潜在泄密危险的；</w:t>
      </w:r>
    </w:p>
    <w:p w14:paraId="5DDCBE4B">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（4）病毒发作导致不能进行正常操作的； </w:t>
      </w:r>
    </w:p>
    <w:p w14:paraId="39EF00F2">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（5）其他无法保证电子交易的公平、公正和安全的情况。</w:t>
      </w:r>
    </w:p>
    <w:p w14:paraId="266E01FD">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24B25756">
      <w:pPr>
        <w:shd w:val="clear"/>
        <w:snapToGrid w:val="0"/>
        <w:spacing w:line="400" w:lineRule="exact"/>
        <w:ind w:firstLine="420" w:firstLineChars="200"/>
        <w:rPr>
          <w:rFonts w:hint="eastAsia" w:ascii="宋体" w:hAnsi="宋体"/>
          <w:color w:val="auto"/>
          <w:szCs w:val="20"/>
          <w:highlight w:val="none"/>
        </w:rPr>
      </w:pPr>
    </w:p>
    <w:p w14:paraId="72C16248">
      <w:pPr>
        <w:shd w:val="clear"/>
        <w:spacing w:line="400" w:lineRule="exact"/>
        <w:ind w:firstLine="643" w:firstLineChars="200"/>
        <w:jc w:val="center"/>
        <w:outlineLvl w:val="2"/>
        <w:rPr>
          <w:b/>
          <w:bCs/>
          <w:color w:val="auto"/>
          <w:sz w:val="32"/>
          <w:szCs w:val="32"/>
          <w:highlight w:val="none"/>
        </w:rPr>
      </w:pPr>
      <w:bookmarkStart w:id="136" w:name="_Toc254970687"/>
      <w:bookmarkStart w:id="137" w:name="_Toc254970546"/>
      <w:bookmarkStart w:id="138" w:name="_Toc28406"/>
      <w:r>
        <w:rPr>
          <w:rFonts w:hint="eastAsia"/>
          <w:b/>
          <w:bCs/>
          <w:color w:val="auto"/>
          <w:sz w:val="32"/>
          <w:szCs w:val="32"/>
          <w:highlight w:val="none"/>
        </w:rPr>
        <w:t>七、</w:t>
      </w:r>
      <w:bookmarkEnd w:id="136"/>
      <w:bookmarkEnd w:id="137"/>
      <w:r>
        <w:rPr>
          <w:rFonts w:hint="eastAsia"/>
          <w:b/>
          <w:bCs/>
          <w:color w:val="auto"/>
          <w:sz w:val="32"/>
          <w:szCs w:val="32"/>
          <w:highlight w:val="none"/>
        </w:rPr>
        <w:t>中标和合同</w:t>
      </w:r>
      <w:bookmarkEnd w:id="138"/>
    </w:p>
    <w:p w14:paraId="2ED9ACFD">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30.确定中标人</w:t>
      </w:r>
    </w:p>
    <w:p w14:paraId="684C5A0B">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30.1采购代理机构在评标结束之日起2个工作日内将评标报告送招标人，招标人在收到评标报告之日起5个工作日内，在评标报告确定的中标候选人名单中按顺序确定中标人。中标候选人并列的，按照“投标人须知前附表”规定的方式确定中标人。招标人也可以事先授权评标委员会直接确定中标人。招标人在收到评标报告5个工作日内未按评标报告推荐的中标候选人顺序确定中标人，又不能说明合法理由的，视同按评标报告推荐的顺序确定排名第一的中标候选人为中标人。</w:t>
      </w:r>
    </w:p>
    <w:p w14:paraId="1B04828C">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30.2招标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745F03A9">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30.3中标供应商无正当理由拒签合同的，根据《中华人民共和国政府采购法》第七十七条第一款规定处理。</w:t>
      </w:r>
    </w:p>
    <w:p w14:paraId="44DC8F76">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30.4根据《中华人民共和国民法典》第五百六十三条，因不可抗力致使不能实现合同目的的，当事人可以解除合同。</w:t>
      </w:r>
    </w:p>
    <w:p w14:paraId="62775128">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 结果公告</w:t>
      </w:r>
    </w:p>
    <w:p w14:paraId="5BF077FA">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31.1在中标供应商确定之日起2个工作日内，由采购代理机构</w:t>
      </w:r>
      <w:r>
        <w:rPr>
          <w:rFonts w:hint="eastAsia" w:ascii="宋体" w:hAnsi="宋体" w:cs="宋体"/>
          <w:b/>
          <w:color w:val="auto"/>
          <w:szCs w:val="21"/>
          <w:highlight w:val="none"/>
        </w:rPr>
        <w:t>在招标公告发布媒体上</w:t>
      </w:r>
      <w:r>
        <w:rPr>
          <w:rFonts w:hint="eastAsia" w:ascii="宋体" w:hAnsi="宋体" w:cs="宋体"/>
          <w:color w:val="auto"/>
          <w:szCs w:val="21"/>
          <w:highlight w:val="none"/>
        </w:rPr>
        <w:t>发布中标结果公告，中标结果公告期限为1个工作日，发布中标结果公告的同时向中标供应商发出中标通知书。</w:t>
      </w:r>
      <w:r>
        <w:rPr>
          <w:rFonts w:hint="eastAsia" w:ascii="宋体" w:hAnsi="宋体" w:cs="宋体"/>
          <w:b/>
          <w:bCs/>
          <w:color w:val="auto"/>
          <w:szCs w:val="21"/>
          <w:highlight w:val="none"/>
        </w:rPr>
        <w:t>招标人或者</w:t>
      </w:r>
      <w:r>
        <w:rPr>
          <w:rFonts w:hint="eastAsia" w:ascii="宋体" w:hAnsi="宋体" w:cs="宋体"/>
          <w:b/>
          <w:color w:val="auto"/>
          <w:szCs w:val="21"/>
          <w:highlight w:val="none"/>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w:t>
      </w:r>
      <w:r>
        <w:rPr>
          <w:rFonts w:hint="eastAsia" w:ascii="宋体" w:hAnsi="宋体" w:cs="宋体"/>
          <w:b/>
          <w:bCs/>
          <w:color w:val="auto"/>
          <w:szCs w:val="21"/>
          <w:highlight w:val="none"/>
        </w:rPr>
        <w:t>依法</w:t>
      </w:r>
      <w:r>
        <w:rPr>
          <w:rFonts w:hint="eastAsia" w:ascii="宋体" w:hAnsi="宋体" w:cs="宋体"/>
          <w:b/>
          <w:color w:val="auto"/>
          <w:szCs w:val="21"/>
          <w:highlight w:val="none"/>
        </w:rPr>
        <w:t>确定排名第二的中标候选人为中标人。</w:t>
      </w:r>
      <w:r>
        <w:rPr>
          <w:rFonts w:hint="eastAsia" w:ascii="宋体" w:hAnsi="宋体" w:cs="宋体"/>
          <w:color w:val="auto"/>
          <w:szCs w:val="21"/>
          <w:highlight w:val="none"/>
        </w:rPr>
        <w:t>排名第二的中标候选人因前款规定的同样原因被取消中标资格的，招标人可依法确定排名第三的中标候选人为中标人，以此类推。</w:t>
      </w:r>
    </w:p>
    <w:p w14:paraId="2689E7D4">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以上信息查询记录及相关证据与采购文件一并保存。</w:t>
      </w:r>
    </w:p>
    <w:p w14:paraId="00BEA1FB">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31.2中小企业在政府采购活动过程中，请根据企业的真实情况出具《中小企业声明函》。依法享受中小企业优惠政策的，招标人或者采购代理机构在公告中标结果时，同时公告其《中小企业声明函》，接受社会监督。</w:t>
      </w:r>
    </w:p>
    <w:p w14:paraId="564E0FC5">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32.发出中标通知书</w:t>
      </w:r>
    </w:p>
    <w:p w14:paraId="2E575ABF">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32.1在发布中标公告的同时，采购代理机构向中标人发出中标通知书。</w:t>
      </w:r>
    </w:p>
    <w:p w14:paraId="696D315E">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32.2对未通过资格审查的投标人，招标人或采购机构应当告知其未通过的原因。</w:t>
      </w:r>
    </w:p>
    <w:p w14:paraId="2B393E58">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 无义务解释未中标原因</w:t>
      </w:r>
    </w:p>
    <w:p w14:paraId="46F6189F">
      <w:pPr>
        <w:shd w:val="clea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采购代理机构无义务向未中标的投标人解释未中标原因和退还投标文件。</w:t>
      </w:r>
    </w:p>
    <w:p w14:paraId="39A0485D">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34.合同授予标准</w:t>
      </w:r>
    </w:p>
    <w:p w14:paraId="4FF98913">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合同将授予被确定实质上响应招标文件要求，具备履行合同能力的中标人（招标文件另有约定多名中标人的除外）。</w:t>
      </w:r>
    </w:p>
    <w:p w14:paraId="467A0DAE">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35.履约保证金</w:t>
      </w:r>
    </w:p>
    <w:p w14:paraId="437C90D5">
      <w:pPr>
        <w:pStyle w:val="121"/>
        <w:shd w:val="clear"/>
        <w:snapToGrid w:val="0"/>
        <w:spacing w:before="0"/>
        <w:ind w:firstLine="420"/>
        <w:rPr>
          <w:rFonts w:hint="eastAsia" w:ascii="宋体" w:hAnsi="宋体" w:cs="宋体"/>
          <w:color w:val="auto"/>
          <w:kern w:val="0"/>
          <w:sz w:val="21"/>
          <w:szCs w:val="21"/>
          <w:highlight w:val="none"/>
          <w:lang w:val="zh-CN"/>
        </w:rPr>
      </w:pPr>
      <w:bookmarkStart w:id="139" w:name="_39.1中标人须于签订合同前按本须知前附表规定的金额转账或电汇到指定账"/>
      <w:bookmarkEnd w:id="139"/>
      <w:r>
        <w:rPr>
          <w:rFonts w:hint="eastAsia" w:ascii="宋体" w:hAnsi="宋体" w:cs="宋体"/>
          <w:color w:val="auto"/>
          <w:kern w:val="0"/>
          <w:sz w:val="21"/>
          <w:szCs w:val="21"/>
          <w:highlight w:val="none"/>
          <w:lang w:val="zh-CN"/>
        </w:rPr>
        <w:t xml:space="preserve"> 35.1 履约保证金的金额、提交方式、退付的时间和条件详见 “投标人须知前附表”。中标人未按规定提交履约保证金的，视为拒绝与招标人签订合同，招标人可以按照评标报告推荐的中标候选人名单排序，依法确定下一候选人为中标人，也可以重新开展政府采购活动。</w:t>
      </w:r>
    </w:p>
    <w:p w14:paraId="1AE4573F">
      <w:pPr>
        <w:pStyle w:val="121"/>
        <w:shd w:val="clear"/>
        <w:snapToGrid w:val="0"/>
        <w:spacing w:before="0"/>
        <w:ind w:firstLine="420"/>
        <w:rPr>
          <w:rFonts w:hint="eastAsia"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 xml:space="preserve"> 35.2签订合同后，如中标人不按双方签订的合同规定履约，则没收其全部履约保证金，履约保证金不足以赔偿损失的，按实际损失赔偿。</w:t>
      </w:r>
    </w:p>
    <w:p w14:paraId="60CF8B98">
      <w:pPr>
        <w:pStyle w:val="121"/>
        <w:shd w:val="clear"/>
        <w:snapToGrid w:val="0"/>
        <w:spacing w:before="0"/>
        <w:ind w:firstLine="420"/>
        <w:rPr>
          <w:rFonts w:hint="eastAsia"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35.3在履约保证金退还日期前，若中标人的开户名称、开户银行、账号有变动的，请以书面形式通知履约保证金收取单位，否则由此产生的后果由中标人自行承担。</w:t>
      </w:r>
    </w:p>
    <w:p w14:paraId="182276D6">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36.签订合同</w:t>
      </w:r>
    </w:p>
    <w:p w14:paraId="2767E777">
      <w:pPr>
        <w:pStyle w:val="121"/>
        <w:shd w:val="clear"/>
        <w:snapToGrid w:val="0"/>
        <w:spacing w:before="0"/>
        <w:ind w:firstLine="420"/>
        <w:rPr>
          <w:rFonts w:hint="eastAsia" w:ascii="宋体" w:hAnsi="宋体" w:cs="宋体"/>
          <w:color w:val="auto"/>
          <w:kern w:val="0"/>
          <w:sz w:val="21"/>
          <w:szCs w:val="21"/>
          <w:highlight w:val="none"/>
          <w:lang w:val="zh-CN"/>
        </w:rPr>
      </w:pPr>
      <w:bookmarkStart w:id="140" w:name="_40.1投标人接到中标通知书后，按须知前附表规定向采购人出示相关资格证"/>
      <w:bookmarkEnd w:id="140"/>
      <w:r>
        <w:rPr>
          <w:rFonts w:hint="eastAsia" w:ascii="宋体" w:hAnsi="宋体" w:cs="宋体"/>
          <w:color w:val="auto"/>
          <w:sz w:val="21"/>
          <w:szCs w:val="21"/>
          <w:highlight w:val="none"/>
        </w:rPr>
        <w:t xml:space="preserve"> 36.1中标人领取中标通知书后，</w:t>
      </w:r>
      <w:r>
        <w:rPr>
          <w:rFonts w:hint="eastAsia" w:ascii="宋体" w:hAnsi="宋体" w:cs="宋体"/>
          <w:color w:val="auto"/>
          <w:kern w:val="0"/>
          <w:sz w:val="21"/>
          <w:szCs w:val="21"/>
          <w:highlight w:val="none"/>
          <w:lang w:val="zh-CN"/>
        </w:rPr>
        <w:t>按规定的日期、时间、地点，由法定代表人或其授权代表与招标人代表签订采购合同。如中标人为联合体的，由联合体成员各方法定代表人或其授权代表与招标人代表签订合同，签订携带资料详见“投标人须知前附表”。</w:t>
      </w:r>
    </w:p>
    <w:p w14:paraId="1A2FEEC4">
      <w:pPr>
        <w:pStyle w:val="121"/>
        <w:shd w:val="clear"/>
        <w:snapToGrid w:val="0"/>
        <w:spacing w:before="0"/>
        <w:ind w:firstLine="420"/>
        <w:rPr>
          <w:rFonts w:hint="eastAsia"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36.2</w:t>
      </w:r>
      <w:r>
        <w:rPr>
          <w:rFonts w:hint="eastAsia" w:ascii="宋体" w:hAnsi="宋体" w:cs="宋体"/>
          <w:color w:val="auto"/>
          <w:sz w:val="21"/>
          <w:szCs w:val="21"/>
          <w:highlight w:val="none"/>
        </w:rPr>
        <w:t>采购合同由招标人与中标供应商根据招标文件、投标文件等内容通过政府采购电子交易平台在线签订，自动备案。</w:t>
      </w:r>
    </w:p>
    <w:p w14:paraId="03F6ACD5">
      <w:pPr>
        <w:pStyle w:val="121"/>
        <w:shd w:val="clear"/>
        <w:snapToGrid w:val="0"/>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36.3签订合同时间：按中标通知书规定的时间与招标人签订合同（最长不能超过25日）。</w:t>
      </w:r>
    </w:p>
    <w:p w14:paraId="6C203CAE">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36.4中标人拒绝与招标人签订合同的，招标人可以按照评审报告推荐的中标候选人名单排序，依法确定下一候选人为中标人，也可以重新开展政府采购活动。如招标人无正当理由拒签合同的，给中标供应商造成损失的，中标供应商可追究招标人承担相应的法律责任。</w:t>
      </w:r>
    </w:p>
    <w:p w14:paraId="7D7637C0">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36.5政府采购合同是政府采购项目验收的依据，中标供应商和招标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7097599">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36.6招标人或中标供应商不得单方面向合同另一方提出任何招标文件没有约定的条件或不合理的要求，作为签订合同的条件；也不得协商另行订立背离招标文件和合同实质性内容的协议。</w:t>
      </w:r>
    </w:p>
    <w:p w14:paraId="330340CE">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36.7招标人需追加与合同标的相同的货物或者服务的，在不改变原合同条款且已报财政部门批准落实资金的前提下，可从原中标供应商处添购， 所签订的补充添置合同的采购资金总额不超过原采购合同金额的10%。</w:t>
      </w:r>
    </w:p>
    <w:p w14:paraId="578E00A3">
      <w:pPr>
        <w:shd w:val="clear"/>
        <w:spacing w:line="360" w:lineRule="auto"/>
        <w:ind w:firstLine="420" w:firstLineChars="200"/>
        <w:rPr>
          <w:rFonts w:hint="eastAsia" w:ascii="宋体" w:hAnsi="宋体" w:cs="宋体"/>
          <w:color w:val="auto"/>
          <w:szCs w:val="21"/>
          <w:highlight w:val="none"/>
        </w:rPr>
      </w:pPr>
      <w:bookmarkStart w:id="141" w:name="_41.政府采购合同公告"/>
      <w:bookmarkEnd w:id="141"/>
      <w:r>
        <w:rPr>
          <w:rFonts w:hint="eastAsia" w:ascii="宋体" w:hAnsi="宋体" w:cs="宋体"/>
          <w:color w:val="auto"/>
          <w:szCs w:val="21"/>
          <w:highlight w:val="none"/>
        </w:rPr>
        <w:t>37.政府采购合同公告</w:t>
      </w:r>
    </w:p>
    <w:p w14:paraId="6483EFC9">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招标人或者受托采购代理机构应当自政府采购合同签订之日起2个工作日内，将政府采购合同</w:t>
      </w:r>
      <w:r>
        <w:rPr>
          <w:rFonts w:hint="eastAsia" w:ascii="宋体" w:hAnsi="宋体" w:cs="宋体"/>
          <w:bCs/>
          <w:color w:val="auto"/>
          <w:szCs w:val="21"/>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ascii="宋体" w:hAnsi="宋体" w:cs="宋体"/>
          <w:color w:val="auto"/>
          <w:szCs w:val="21"/>
          <w:highlight w:val="none"/>
        </w:rPr>
        <w:t>上公告，但政府采购合同中涉及国家秘密、商业秘密的内容除外。</w:t>
      </w:r>
    </w:p>
    <w:p w14:paraId="3D34C595">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38. 询问、质疑和投诉</w:t>
      </w:r>
    </w:p>
    <w:p w14:paraId="7276C1D0">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38.1询问</w:t>
      </w:r>
    </w:p>
    <w:p w14:paraId="4D76BDAA">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38.1.1供应商在开标前对政府采购活动事项有疑问的，可以向招标人或采购代理机构项目负责人提出询问。</w:t>
      </w:r>
    </w:p>
    <w:p w14:paraId="189F87EB">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38.1.2招标人或招标人委托的采购代理机构自受理询问之日起3个工作日内对供应商依法提出的询问作出答复，但答复内容不得涉及商业秘密。</w:t>
      </w:r>
    </w:p>
    <w:p w14:paraId="4FC16E94">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38.1.3 询问事项可能影响中标、成交结果的，招标人应当暂停签订合同，已经签订合同的，应当中止履行合同。</w:t>
      </w:r>
    </w:p>
    <w:p w14:paraId="35F0A388">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38.2质疑</w:t>
      </w:r>
    </w:p>
    <w:p w14:paraId="060BAB82">
      <w:pPr>
        <w:shd w:val="clea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38.2.1</w:t>
      </w:r>
      <w:r>
        <w:rPr>
          <w:rFonts w:hint="eastAsia" w:ascii="宋体" w:hAnsi="宋体" w:cs="宋体"/>
          <w:bCs/>
          <w:color w:val="auto"/>
          <w:szCs w:val="21"/>
          <w:highlight w:val="none"/>
        </w:rPr>
        <w:t xml:space="preserve">供应商认为招标文件、采购过程或者中标结果使自己的合法权益受到损害的，必须在知道或者应知其权益受到损害之日起7个工作日内，以书面形式向招标人、采购代理机构提出质疑，质疑有效期结束后，招标人或采购代理机构不再受理该项目质疑。招标人、采购代理机构接收质疑函的方式、联系部门、联系电话和通讯地址等信息详见“投标人须知前附表”。具体质疑起算时间及处理方式如下： </w:t>
      </w:r>
    </w:p>
    <w:p w14:paraId="69894940">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（1）供应商认为招标文件、采购过程或者中标结果使自己的合法权益受到损害的，必须在知道或者应知其权益受到损害之日起7个工作日内，以书面形式向招标人、采购代理机构提出质疑。</w:t>
      </w:r>
    </w:p>
    <w:p w14:paraId="0BC28918">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供应商认为采购过程使自己的权益受到损害的，应当在各采购程序环节结束之日起7个工作日内提出质疑。对采购过程中资格审查、符合性审查等具体评审情况的质疑应向招标人或代理机构提出，由招标人或代理机构受理并负责答复；对采购过程中采购执行程序的质疑由采购代理机构受理并负责答复。</w:t>
      </w:r>
    </w:p>
    <w:p w14:paraId="206CC18A">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（3）供应商认为中标或者成交结果使自己的权益受到损害的，应当在中标或者成交结果公告期限届满之日起7个工作日内提出质疑，由招标人受理并负责答复。</w:t>
      </w:r>
    </w:p>
    <w:p w14:paraId="3C207DE1">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38.2.2供应商质疑实行实名制，其质疑应当有具体的质疑事项及事实根据，质疑应当坚持依法依规、诚实信用原则，不得进行虚假、恶意质疑。</w:t>
      </w:r>
    </w:p>
    <w:p w14:paraId="34663FC4">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38.2.3 质疑供应商可以委托代理人办理质疑事务。委托代理人应熟悉相关业务情况。代理人办理质疑事务时，除提交质疑书外，还应当提交质疑供应商的授权委托书和委托代理人身份证明复印件。</w:t>
      </w:r>
    </w:p>
    <w:p w14:paraId="6814B5C7">
      <w:pPr>
        <w:shd w:val="clea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38.2.4 质疑供应商提起质疑应当符合下列条件：</w:t>
      </w:r>
    </w:p>
    <w:p w14:paraId="681CF844">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（1）质疑供应商是参与所质疑项目采购活动的供应商（潜在供应商已依法获取采购文件的，可以对该采购文件质疑）；</w:t>
      </w:r>
    </w:p>
    <w:p w14:paraId="74F6AB19">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（2）质疑函内容符合本章第38.2.5项的规定；</w:t>
      </w:r>
    </w:p>
    <w:p w14:paraId="6ACD327D">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（3）在质疑有效期限内提起质疑；</w:t>
      </w:r>
    </w:p>
    <w:p w14:paraId="359FDAD3">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（4）属于所质疑的招标人或招标人委托的采购代理机构组织的采购活动；</w:t>
      </w:r>
    </w:p>
    <w:p w14:paraId="1AC1C028">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 xml:space="preserve">（5）同一质疑事项未经招标人或招标人委托的采购代理机构质疑处理； </w:t>
      </w:r>
    </w:p>
    <w:p w14:paraId="723F0035">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（6）供应商对同一采购程序环节的质疑应当在质疑有效期内一次性提出；</w:t>
      </w:r>
    </w:p>
    <w:p w14:paraId="6A24857C">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（7）供应商提交质疑应当提交必要的证明材料，证明材料应以合法手段取得；</w:t>
      </w:r>
    </w:p>
    <w:p w14:paraId="568CF6EB">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bCs/>
          <w:color w:val="auto"/>
          <w:szCs w:val="21"/>
          <w:highlight w:val="none"/>
        </w:rPr>
        <w:t>（8）财政部门规定的其他条件。</w:t>
      </w:r>
    </w:p>
    <w:p w14:paraId="28F3148E">
      <w:pPr>
        <w:shd w:val="clear"/>
        <w:spacing w:line="360" w:lineRule="auto"/>
        <w:ind w:firstLine="420" w:firstLineChars="200"/>
        <w:rPr>
          <w:rFonts w:hint="eastAsia" w:ascii="宋体" w:hAnsi="宋体" w:cs="宋体"/>
          <w:b/>
          <w:color w:val="auto"/>
          <w:szCs w:val="21"/>
          <w:highlight w:val="none"/>
        </w:rPr>
      </w:pPr>
      <w:bookmarkStart w:id="142" w:name="_9.2质疑、投诉应当采用书面形式，质疑函、投诉书均应明确阐述招标文件、"/>
      <w:bookmarkEnd w:id="142"/>
      <w:r>
        <w:rPr>
          <w:rFonts w:hint="eastAsia" w:ascii="宋体" w:hAnsi="宋体" w:cs="宋体"/>
          <w:color w:val="auto"/>
          <w:szCs w:val="21"/>
          <w:highlight w:val="none"/>
        </w:rPr>
        <w:t xml:space="preserve"> 38.2.5 </w:t>
      </w:r>
      <w:r>
        <w:rPr>
          <w:rFonts w:hint="eastAsia" w:ascii="宋体" w:hAnsi="宋体" w:cs="宋体"/>
          <w:bCs/>
          <w:color w:val="auto"/>
          <w:szCs w:val="21"/>
          <w:highlight w:val="none"/>
        </w:rPr>
        <w:t>供应商提出质疑应当提交质疑函和必要的证明材料，针对同一采购程序环节的质疑必须在法定质疑期内一次性提出。质疑函应当包括下列内容（质疑函格式后附）：</w:t>
      </w:r>
    </w:p>
    <w:p w14:paraId="51449793">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（1）供应商的姓名或者名称、地址、邮编、联系人及联系电话；</w:t>
      </w:r>
    </w:p>
    <w:p w14:paraId="5A38F8EB">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（2）质疑项目的名称、编号；</w:t>
      </w:r>
    </w:p>
    <w:p w14:paraId="4751D3D6">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（3）具体、明确的质疑事项和与质疑事项相关的请求；</w:t>
      </w:r>
    </w:p>
    <w:p w14:paraId="44DD8BB6">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（4）事实依据（列明权益受到损害的事实和理由）；</w:t>
      </w:r>
    </w:p>
    <w:p w14:paraId="0774FBB9">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（5）必要的法律依据；</w:t>
      </w:r>
    </w:p>
    <w:p w14:paraId="156A3306">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（6）提出质疑的日期。</w:t>
      </w:r>
    </w:p>
    <w:p w14:paraId="38B66A9C">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供应商为自然人的，应当由本人签字；供应商为法人或者其他组织的，应当由法定代表人、主要负责人，或者其委托代理人签字或者盖章，并加盖公章。</w:t>
      </w:r>
    </w:p>
    <w:p w14:paraId="2DFAA741">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38.2.6 招标人或招标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12891957">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3</w:t>
      </w:r>
      <w:r>
        <w:rPr>
          <w:rFonts w:hint="eastAsia" w:ascii="宋体" w:hAnsi="宋体" w:cs="宋体"/>
          <w:bCs/>
          <w:color w:val="auto"/>
          <w:szCs w:val="21"/>
          <w:highlight w:val="none"/>
        </w:rPr>
        <w:t>8.2.7 招标人、采购代理机构认为供应商质疑不成立，或者成立但未对中标结果构成影响的，继续开展采购活动；认为供应商质疑成立且影响或者可能影响中标结果的，按照下列情况处理：</w:t>
      </w:r>
    </w:p>
    <w:p w14:paraId="577E26AA">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（1）对招标文件提出的质疑，依法通过澄清或者修改可以继续开展采购活动的，澄清或者修改招标文件后继续开展采购活动；否则应当修改招标文件后重新开展采购活动。</w:t>
      </w:r>
    </w:p>
    <w:p w14:paraId="18E3C305">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（2）对采购过程、中标结果提出的质疑，合格供应商符合法定数量时，可以从合格的中标候选人中另行确定中标供应商的，应当依法另行确定中标供应商；否则应当重新开展采购活动。</w:t>
      </w:r>
    </w:p>
    <w:p w14:paraId="05E80500">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质疑答复导致中标结果改变的，招标人或者采购代理机构应当将有关情况书面报告本级财政部门。</w:t>
      </w:r>
    </w:p>
    <w:p w14:paraId="21DC4C7D">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38.3投诉</w:t>
      </w:r>
    </w:p>
    <w:p w14:paraId="6275554D">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38.3.1  供应商认为采购文件、采购过程、中标和成交结果使自己的合法权益受到损害的，应当首先依法向招标人或招标人委托的</w:t>
      </w:r>
      <w:r>
        <w:rPr>
          <w:rFonts w:hint="eastAsia" w:ascii="宋体" w:hAnsi="宋体" w:cs="宋体"/>
          <w:color w:val="auto"/>
          <w:szCs w:val="21"/>
          <w:highlight w:val="none"/>
        </w:rPr>
        <w:t>采购代理机构</w:t>
      </w:r>
      <w:r>
        <w:rPr>
          <w:rFonts w:hint="eastAsia" w:ascii="宋体" w:hAnsi="宋体" w:cs="宋体"/>
          <w:bCs/>
          <w:color w:val="auto"/>
          <w:szCs w:val="21"/>
          <w:highlight w:val="none"/>
        </w:rPr>
        <w:t>提出质疑。对招标人、</w:t>
      </w:r>
      <w:r>
        <w:rPr>
          <w:rFonts w:hint="eastAsia" w:ascii="宋体" w:hAnsi="宋体" w:cs="宋体"/>
          <w:color w:val="auto"/>
          <w:szCs w:val="21"/>
          <w:highlight w:val="none"/>
        </w:rPr>
        <w:t>采购代理机构</w:t>
      </w:r>
      <w:r>
        <w:rPr>
          <w:rFonts w:hint="eastAsia" w:ascii="宋体" w:hAnsi="宋体" w:cs="宋体"/>
          <w:bCs/>
          <w:color w:val="auto"/>
          <w:szCs w:val="21"/>
          <w:highlight w:val="none"/>
        </w:rPr>
        <w:t>的答复不满意，或者招标人、</w:t>
      </w:r>
      <w:r>
        <w:rPr>
          <w:rFonts w:hint="eastAsia" w:ascii="宋体" w:hAnsi="宋体" w:cs="宋体"/>
          <w:color w:val="auto"/>
          <w:szCs w:val="21"/>
          <w:highlight w:val="none"/>
        </w:rPr>
        <w:t>采购代理机构</w:t>
      </w:r>
      <w:r>
        <w:rPr>
          <w:rFonts w:hint="eastAsia" w:ascii="宋体" w:hAnsi="宋体" w:cs="宋体"/>
          <w:bCs/>
          <w:color w:val="auto"/>
          <w:szCs w:val="21"/>
          <w:highlight w:val="none"/>
        </w:rPr>
        <w:t>未在规定期限内做出答复的，供应商可以在答复期满后15个工作日内向本级政府采购监督管理部门提起投诉，投诉联系方式见“投标人须知前附表”。</w:t>
      </w:r>
    </w:p>
    <w:p w14:paraId="0D6D9572">
      <w:pPr>
        <w:shd w:val="clear"/>
        <w:spacing w:line="360" w:lineRule="auto"/>
        <w:ind w:firstLine="422" w:firstLineChars="200"/>
        <w:rPr>
          <w:rFonts w:hint="eastAsia" w:ascii="宋体" w:hAnsi="宋体" w:cs="宋体"/>
          <w:bCs/>
          <w:color w:val="auto"/>
          <w:szCs w:val="21"/>
          <w:highlight w:val="none"/>
        </w:rPr>
      </w:pPr>
      <w:r>
        <w:rPr>
          <w:rFonts w:hint="eastAsia" w:ascii="宋体" w:hAnsi="宋体" w:cs="宋体"/>
          <w:b/>
          <w:color w:val="auto"/>
          <w:szCs w:val="21"/>
          <w:highlight w:val="none"/>
        </w:rPr>
        <w:t xml:space="preserve">38.3.2 </w:t>
      </w:r>
      <w:r>
        <w:rPr>
          <w:rFonts w:hint="eastAsia" w:ascii="宋体" w:hAnsi="宋体" w:cs="宋体"/>
          <w:color w:val="auto"/>
          <w:szCs w:val="21"/>
          <w:highlight w:val="none"/>
        </w:rPr>
        <w:t xml:space="preserve"> 投诉人投诉时，应当提交投诉书，并按照被投诉招标人、采购代理机构和与投诉事项有关的供应商数量提供投诉书的副本。投诉书应当包括下列主要内容（如材料中有外文资料应同时附上对应的中文译本）</w:t>
      </w:r>
      <w:r>
        <w:rPr>
          <w:rFonts w:hint="eastAsia" w:ascii="宋体" w:hAnsi="宋体" w:cs="宋体"/>
          <w:bCs/>
          <w:color w:val="auto"/>
          <w:szCs w:val="21"/>
          <w:highlight w:val="none"/>
        </w:rPr>
        <w:t>（投诉书格式后附）</w:t>
      </w:r>
      <w:r>
        <w:rPr>
          <w:rFonts w:hint="eastAsia" w:ascii="宋体" w:hAnsi="宋体" w:cs="宋体"/>
          <w:color w:val="auto"/>
          <w:szCs w:val="21"/>
          <w:highlight w:val="none"/>
        </w:rPr>
        <w:t>：</w:t>
      </w:r>
    </w:p>
    <w:p w14:paraId="275BE8E7">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（1）投诉人和被投诉人的名称、地址、邮编、联系人及联系电话等； </w:t>
      </w:r>
    </w:p>
    <w:p w14:paraId="157BE3E5">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（2）质疑和质疑答复情况及相关证明材料； </w:t>
      </w:r>
    </w:p>
    <w:p w14:paraId="77E8FAE4">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（3）具体、明确的投诉事项和与投诉事项相关的投诉请求；</w:t>
      </w:r>
    </w:p>
    <w:p w14:paraId="318F76AC">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（4）事实依据；</w:t>
      </w:r>
    </w:p>
    <w:p w14:paraId="62F44611">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（5）法律依据；</w:t>
      </w:r>
    </w:p>
    <w:p w14:paraId="677340BA">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（6）提起投诉的日期。</w:t>
      </w:r>
    </w:p>
    <w:p w14:paraId="5B580BE2">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（7）附件材料：营业执照副本内页复印件（要求证件有效并清晰反映企业法人经营范围；近期连续三个月依法缴纳税收和在职职工社会保障资金证明材料（复印件）。</w:t>
      </w:r>
      <w:r>
        <w:rPr>
          <w:rFonts w:hint="eastAsia" w:ascii="宋体" w:hAnsi="宋体" w:cs="宋体"/>
          <w:color w:val="auto"/>
          <w:szCs w:val="21"/>
          <w:highlight w:val="none"/>
        </w:rPr>
        <w:tab/>
      </w:r>
    </w:p>
    <w:p w14:paraId="7C3F89B1">
      <w:pPr>
        <w:shd w:val="clear"/>
        <w:spacing w:line="360" w:lineRule="auto"/>
        <w:ind w:firstLine="422" w:firstLineChars="200"/>
        <w:rPr>
          <w:rFonts w:hint="eastAsia" w:ascii="宋体" w:hAnsi="宋体" w:cs="宋体"/>
          <w:bCs/>
          <w:color w:val="auto"/>
          <w:szCs w:val="21"/>
          <w:highlight w:val="none"/>
        </w:rPr>
      </w:pPr>
      <w:r>
        <w:rPr>
          <w:rFonts w:hint="eastAsia" w:ascii="宋体" w:hAnsi="宋体" w:cs="宋体"/>
          <w:b/>
          <w:color w:val="auto"/>
          <w:szCs w:val="21"/>
          <w:highlight w:val="none"/>
        </w:rPr>
        <w:t xml:space="preserve">38.3.3  </w:t>
      </w:r>
      <w:r>
        <w:rPr>
          <w:rFonts w:hint="eastAsia" w:ascii="宋体" w:hAnsi="宋体" w:cs="宋体"/>
          <w:color w:val="auto"/>
          <w:szCs w:val="21"/>
          <w:highlight w:val="none"/>
        </w:rPr>
        <w:t>投诉人可以委托代理人办理投诉事务。</w:t>
      </w:r>
      <w:r>
        <w:rPr>
          <w:rFonts w:hint="eastAsia" w:ascii="宋体" w:hAnsi="宋体" w:cs="宋体"/>
          <w:bCs/>
          <w:color w:val="auto"/>
          <w:szCs w:val="21"/>
          <w:highlight w:val="none"/>
        </w:rPr>
        <w:t>委托代理人应熟悉相关业务情况。</w:t>
      </w:r>
      <w:r>
        <w:rPr>
          <w:rFonts w:hint="eastAsia" w:ascii="宋体" w:hAnsi="宋体" w:cs="宋体"/>
          <w:color w:val="auto"/>
          <w:szCs w:val="21"/>
          <w:highlight w:val="none"/>
        </w:rPr>
        <w:t>代理人办理投诉事务时，除提交投诉书外，还应当提交投诉人的授权委托书和委托代理人身份证明复印件。</w:t>
      </w:r>
    </w:p>
    <w:p w14:paraId="6F0F307A">
      <w:pPr>
        <w:shd w:val="clea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38.3.4</w:t>
      </w:r>
      <w:r>
        <w:rPr>
          <w:rFonts w:hint="eastAsia" w:ascii="宋体" w:hAnsi="宋体" w:cs="宋体"/>
          <w:color w:val="auto"/>
          <w:szCs w:val="21"/>
          <w:highlight w:val="none"/>
        </w:rPr>
        <w:t xml:space="preserve">  投诉人提起投诉应当符合下列条件：</w:t>
      </w:r>
    </w:p>
    <w:p w14:paraId="4CDC432C">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（1）投诉人是参与所投诉政府采购活动的供应商；</w:t>
      </w:r>
    </w:p>
    <w:p w14:paraId="44E9B01D">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（2）提起投诉前已依法进行质疑；</w:t>
      </w:r>
    </w:p>
    <w:p w14:paraId="4770C312">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（3）投诉书内容符合本章第38.3.2项的规定；</w:t>
      </w:r>
    </w:p>
    <w:p w14:paraId="6649882F">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（4）在投诉有效期限内提起投诉；</w:t>
      </w:r>
    </w:p>
    <w:p w14:paraId="74F835E6">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（5）属于本级政府采购监督管理部门管辖；</w:t>
      </w:r>
    </w:p>
    <w:p w14:paraId="687B8077">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（6）同一投诉事项未经</w:t>
      </w:r>
      <w:r>
        <w:rPr>
          <w:rFonts w:hint="eastAsia" w:ascii="宋体" w:hAnsi="宋体" w:cs="宋体"/>
          <w:bCs/>
          <w:color w:val="auto"/>
          <w:szCs w:val="21"/>
          <w:highlight w:val="none"/>
        </w:rPr>
        <w:t>本级政府采购监督管理部门</w:t>
      </w:r>
      <w:r>
        <w:rPr>
          <w:rFonts w:hint="eastAsia" w:ascii="宋体" w:hAnsi="宋体" w:cs="宋体"/>
          <w:color w:val="auto"/>
          <w:szCs w:val="21"/>
          <w:highlight w:val="none"/>
        </w:rPr>
        <w:t>投诉处理；</w:t>
      </w:r>
    </w:p>
    <w:p w14:paraId="0373A837">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（7）国务院财政部门规定的其他条件。</w:t>
      </w:r>
    </w:p>
    <w:p w14:paraId="5D1D4B88">
      <w:pPr>
        <w:shd w:val="clea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38.3.5</w:t>
      </w:r>
      <w:r>
        <w:rPr>
          <w:rFonts w:hint="eastAsia" w:ascii="宋体" w:hAnsi="宋体" w:cs="宋体"/>
          <w:color w:val="auto"/>
          <w:szCs w:val="21"/>
          <w:highlight w:val="none"/>
        </w:rPr>
        <w:t xml:space="preserve">  本级政府采购监督管理部门自受理投诉之日起30个工作日内，对投诉事项作出处理决定，并以书面形式通知投诉人、被投诉人及其他与投诉处理结果有利害关系的政府采购当事人。并将投诉结果在http://zfcg.gxzf.gov.cn (广西壮族自治区政府采购网)发布。</w:t>
      </w:r>
    </w:p>
    <w:p w14:paraId="4278FB72">
      <w:pPr>
        <w:shd w:val="clea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38.3.6</w:t>
      </w:r>
      <w:r>
        <w:rPr>
          <w:rFonts w:hint="eastAsia" w:ascii="宋体" w:hAnsi="宋体" w:cs="宋体"/>
          <w:color w:val="auto"/>
          <w:szCs w:val="21"/>
          <w:highlight w:val="none"/>
        </w:rPr>
        <w:t xml:space="preserve">  本级政府采购监督管理部门在处理投诉事项期间，可以视具体情况暂停采购活动。</w:t>
      </w:r>
    </w:p>
    <w:p w14:paraId="3116386E">
      <w:pPr>
        <w:shd w:val="clear"/>
        <w:tabs>
          <w:tab w:val="left" w:pos="0"/>
        </w:tabs>
        <w:spacing w:line="360" w:lineRule="auto"/>
        <w:ind w:firstLine="480"/>
        <w:rPr>
          <w:rFonts w:hint="eastAsia" w:hAnsi="宋体"/>
          <w:color w:val="auto"/>
          <w:highlight w:val="none"/>
        </w:rPr>
      </w:pPr>
    </w:p>
    <w:p w14:paraId="1F314443">
      <w:pPr>
        <w:shd w:val="clear"/>
        <w:snapToGrid w:val="0"/>
        <w:spacing w:line="400" w:lineRule="exact"/>
        <w:rPr>
          <w:rFonts w:hint="eastAsia" w:ascii="宋体" w:hAnsi="宋体"/>
          <w:color w:val="auto"/>
          <w:szCs w:val="20"/>
          <w:highlight w:val="none"/>
        </w:rPr>
      </w:pPr>
    </w:p>
    <w:p w14:paraId="0C6AD037">
      <w:pPr>
        <w:shd w:val="clear"/>
        <w:spacing w:line="360" w:lineRule="auto"/>
        <w:ind w:firstLine="643" w:firstLineChars="200"/>
        <w:jc w:val="center"/>
        <w:outlineLvl w:val="2"/>
        <w:rPr>
          <w:b/>
          <w:bCs/>
          <w:color w:val="auto"/>
          <w:sz w:val="32"/>
          <w:szCs w:val="32"/>
          <w:highlight w:val="none"/>
        </w:rPr>
      </w:pPr>
      <w:bookmarkStart w:id="143" w:name="_八、其他事项"/>
      <w:bookmarkEnd w:id="143"/>
      <w:bookmarkStart w:id="144" w:name="_Toc5969"/>
      <w:r>
        <w:rPr>
          <w:rFonts w:hint="eastAsia"/>
          <w:b/>
          <w:bCs/>
          <w:color w:val="auto"/>
          <w:sz w:val="32"/>
          <w:szCs w:val="32"/>
          <w:highlight w:val="none"/>
        </w:rPr>
        <w:t>八、其他事项</w:t>
      </w:r>
      <w:bookmarkEnd w:id="144"/>
    </w:p>
    <w:p w14:paraId="3B0E24E2">
      <w:pPr>
        <w:shd w:val="clear"/>
        <w:spacing w:line="360" w:lineRule="auto"/>
        <w:ind w:firstLine="420" w:firstLineChars="200"/>
        <w:rPr>
          <w:rFonts w:hint="eastAsia" w:ascii="宋体" w:hAnsi="宋体" w:cs="宋体"/>
          <w:color w:val="auto"/>
          <w:szCs w:val="21"/>
          <w:highlight w:val="none"/>
        </w:rPr>
      </w:pPr>
      <w:bookmarkStart w:id="145" w:name="_42.代理服务费"/>
      <w:bookmarkEnd w:id="145"/>
      <w:r>
        <w:rPr>
          <w:rFonts w:hint="eastAsia" w:ascii="宋体" w:hAnsi="宋体" w:cs="宋体"/>
          <w:color w:val="auto"/>
          <w:szCs w:val="21"/>
          <w:highlight w:val="none"/>
        </w:rPr>
        <w:t>39.采购代理服务费</w:t>
      </w:r>
    </w:p>
    <w:p w14:paraId="0BCFE826">
      <w:pPr>
        <w:shd w:val="clea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采购代理服务收费标准及缴费账户详见“投标人须知前附表”，投标人为联合体的，可以由联合体中的一方或者多方共同交纳代理服务费。</w:t>
      </w:r>
    </w:p>
    <w:p w14:paraId="2A454D30">
      <w:pPr>
        <w:shd w:val="clear"/>
        <w:tabs>
          <w:tab w:val="left" w:pos="2835"/>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采购代理服务费收费计算标准：</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2"/>
        <w:gridCol w:w="1945"/>
        <w:gridCol w:w="1795"/>
        <w:gridCol w:w="1812"/>
      </w:tblGrid>
      <w:tr w14:paraId="0C7D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2" w:type="dxa"/>
            <w:tcBorders>
              <w:tl2br w:val="single" w:color="auto" w:sz="4" w:space="0"/>
            </w:tcBorders>
            <w:noWrap w:val="0"/>
            <w:vAlign w:val="top"/>
          </w:tcPr>
          <w:p w14:paraId="6884322D">
            <w:pPr>
              <w:shd w:val="clear" w:color="auto" w:fill="auto"/>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5E0C6303">
            <w:pPr>
              <w:shd w:val="clear" w:color="auto" w:fill="auto"/>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金额</w:t>
            </w:r>
          </w:p>
        </w:tc>
        <w:tc>
          <w:tcPr>
            <w:tcW w:w="1945" w:type="dxa"/>
            <w:noWrap w:val="0"/>
            <w:vAlign w:val="center"/>
          </w:tcPr>
          <w:p w14:paraId="46D85F6B">
            <w:pPr>
              <w:shd w:val="clear" w:color="auto" w:fill="auto"/>
              <w:spacing w:line="360" w:lineRule="auto"/>
              <w:ind w:firstLine="105" w:firstLineChars="50"/>
              <w:jc w:val="center"/>
              <w:rPr>
                <w:rFonts w:ascii="宋体" w:hAnsi="宋体" w:eastAsia="宋体" w:cs="宋体"/>
                <w:color w:val="auto"/>
                <w:szCs w:val="21"/>
                <w:highlight w:val="none"/>
              </w:rPr>
            </w:pPr>
            <w:r>
              <w:rPr>
                <w:rFonts w:hint="eastAsia" w:ascii="宋体" w:hAnsi="宋体" w:eastAsia="宋体" w:cs="宋体"/>
                <w:color w:val="auto"/>
                <w:szCs w:val="21"/>
                <w:highlight w:val="none"/>
              </w:rPr>
              <w:t>货物类</w:t>
            </w:r>
          </w:p>
        </w:tc>
        <w:tc>
          <w:tcPr>
            <w:tcW w:w="1795" w:type="dxa"/>
            <w:noWrap w:val="0"/>
            <w:vAlign w:val="center"/>
          </w:tcPr>
          <w:p w14:paraId="7DE98D48">
            <w:pPr>
              <w:shd w:val="clear" w:color="auto" w:fill="auto"/>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服务类</w:t>
            </w:r>
          </w:p>
        </w:tc>
        <w:tc>
          <w:tcPr>
            <w:tcW w:w="1812" w:type="dxa"/>
            <w:noWrap w:val="0"/>
            <w:vAlign w:val="center"/>
          </w:tcPr>
          <w:p w14:paraId="50F167CB">
            <w:pPr>
              <w:shd w:val="clear" w:color="auto" w:fill="auto"/>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工程类</w:t>
            </w:r>
          </w:p>
        </w:tc>
      </w:tr>
      <w:tr w14:paraId="0B07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2" w:type="dxa"/>
            <w:noWrap w:val="0"/>
            <w:vAlign w:val="top"/>
          </w:tcPr>
          <w:p w14:paraId="6CFBA3C3">
            <w:pPr>
              <w:shd w:val="clear" w:color="auto" w:fill="auto"/>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945" w:type="dxa"/>
            <w:noWrap w:val="0"/>
            <w:vAlign w:val="top"/>
          </w:tcPr>
          <w:p w14:paraId="6F5BFDE6">
            <w:pPr>
              <w:shd w:val="clear" w:color="auto" w:fill="auto"/>
              <w:spacing w:line="360" w:lineRule="auto"/>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1.5%                </w:t>
            </w:r>
          </w:p>
        </w:tc>
        <w:tc>
          <w:tcPr>
            <w:tcW w:w="1795" w:type="dxa"/>
            <w:noWrap w:val="0"/>
            <w:vAlign w:val="top"/>
          </w:tcPr>
          <w:p w14:paraId="02265231">
            <w:pPr>
              <w:shd w:val="clear" w:color="auto" w:fill="auto"/>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1.5%</w:t>
            </w:r>
          </w:p>
        </w:tc>
        <w:tc>
          <w:tcPr>
            <w:tcW w:w="1812" w:type="dxa"/>
            <w:noWrap w:val="0"/>
            <w:vAlign w:val="top"/>
          </w:tcPr>
          <w:p w14:paraId="58BD026E">
            <w:pPr>
              <w:shd w:val="clear" w:color="auto" w:fill="auto"/>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1.0% </w:t>
            </w:r>
          </w:p>
        </w:tc>
      </w:tr>
      <w:tr w14:paraId="7D12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2" w:type="dxa"/>
            <w:noWrap w:val="0"/>
            <w:vAlign w:val="top"/>
          </w:tcPr>
          <w:p w14:paraId="1CCFB08A">
            <w:pPr>
              <w:shd w:val="clear" w:color="auto" w:fill="auto"/>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945" w:type="dxa"/>
            <w:noWrap w:val="0"/>
            <w:vAlign w:val="top"/>
          </w:tcPr>
          <w:p w14:paraId="390AB29E">
            <w:pPr>
              <w:shd w:val="clear" w:color="auto" w:fill="auto"/>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c>
          <w:tcPr>
            <w:tcW w:w="1795" w:type="dxa"/>
            <w:noWrap w:val="0"/>
            <w:vAlign w:val="top"/>
          </w:tcPr>
          <w:p w14:paraId="100A9EF7">
            <w:pPr>
              <w:shd w:val="clear" w:color="auto" w:fill="auto"/>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0.8%</w:t>
            </w:r>
          </w:p>
        </w:tc>
        <w:tc>
          <w:tcPr>
            <w:tcW w:w="1812" w:type="dxa"/>
            <w:noWrap w:val="0"/>
            <w:vAlign w:val="top"/>
          </w:tcPr>
          <w:p w14:paraId="2B34AE22">
            <w:pPr>
              <w:shd w:val="clear" w:color="auto" w:fill="auto"/>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0.7% </w:t>
            </w:r>
          </w:p>
        </w:tc>
      </w:tr>
      <w:tr w14:paraId="7B68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2" w:type="dxa"/>
            <w:noWrap w:val="0"/>
            <w:vAlign w:val="top"/>
          </w:tcPr>
          <w:p w14:paraId="3FBD7DAC">
            <w:pPr>
              <w:shd w:val="clear" w:color="auto" w:fill="auto"/>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945" w:type="dxa"/>
            <w:noWrap w:val="0"/>
            <w:vAlign w:val="top"/>
          </w:tcPr>
          <w:p w14:paraId="01849213">
            <w:pPr>
              <w:shd w:val="clear" w:color="auto" w:fill="auto"/>
              <w:spacing w:line="360" w:lineRule="auto"/>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0.8%                </w:t>
            </w:r>
          </w:p>
        </w:tc>
        <w:tc>
          <w:tcPr>
            <w:tcW w:w="1795" w:type="dxa"/>
            <w:noWrap w:val="0"/>
            <w:vAlign w:val="top"/>
          </w:tcPr>
          <w:p w14:paraId="6F7E2E25">
            <w:pPr>
              <w:shd w:val="clear" w:color="auto" w:fill="auto"/>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0.45%</w:t>
            </w:r>
          </w:p>
        </w:tc>
        <w:tc>
          <w:tcPr>
            <w:tcW w:w="1812" w:type="dxa"/>
            <w:noWrap w:val="0"/>
            <w:vAlign w:val="top"/>
          </w:tcPr>
          <w:p w14:paraId="1DCFECA1">
            <w:pPr>
              <w:shd w:val="clear" w:color="auto" w:fill="auto"/>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0.55%</w:t>
            </w:r>
          </w:p>
        </w:tc>
      </w:tr>
      <w:tr w14:paraId="31F17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2" w:type="dxa"/>
            <w:noWrap w:val="0"/>
            <w:vAlign w:val="top"/>
          </w:tcPr>
          <w:p w14:paraId="4D4E9751">
            <w:pPr>
              <w:shd w:val="clear" w:color="auto" w:fill="auto"/>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945" w:type="dxa"/>
            <w:noWrap w:val="0"/>
            <w:vAlign w:val="top"/>
          </w:tcPr>
          <w:p w14:paraId="41036033">
            <w:pPr>
              <w:shd w:val="clear" w:color="auto" w:fill="auto"/>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c>
          <w:tcPr>
            <w:tcW w:w="1795" w:type="dxa"/>
            <w:noWrap w:val="0"/>
            <w:vAlign w:val="top"/>
          </w:tcPr>
          <w:p w14:paraId="4AC67D91">
            <w:pPr>
              <w:shd w:val="clear" w:color="auto" w:fill="auto"/>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0.25%</w:t>
            </w:r>
          </w:p>
        </w:tc>
        <w:tc>
          <w:tcPr>
            <w:tcW w:w="1812" w:type="dxa"/>
            <w:noWrap w:val="0"/>
            <w:vAlign w:val="top"/>
          </w:tcPr>
          <w:p w14:paraId="36D846D5">
            <w:pPr>
              <w:shd w:val="clear" w:color="auto" w:fill="auto"/>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0.35% </w:t>
            </w:r>
          </w:p>
        </w:tc>
      </w:tr>
      <w:tr w14:paraId="1942D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2" w:type="dxa"/>
            <w:noWrap w:val="0"/>
            <w:vAlign w:val="top"/>
          </w:tcPr>
          <w:p w14:paraId="1DD74AEC">
            <w:pPr>
              <w:shd w:val="clear" w:color="auto" w:fill="auto"/>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945" w:type="dxa"/>
            <w:noWrap w:val="0"/>
            <w:vAlign w:val="top"/>
          </w:tcPr>
          <w:p w14:paraId="456C4F29">
            <w:pPr>
              <w:shd w:val="clear" w:color="auto" w:fill="auto"/>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c>
          <w:tcPr>
            <w:tcW w:w="1795" w:type="dxa"/>
            <w:noWrap w:val="0"/>
            <w:vAlign w:val="top"/>
          </w:tcPr>
          <w:p w14:paraId="0F930FFC">
            <w:pPr>
              <w:shd w:val="clear" w:color="auto" w:fill="auto"/>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0.1%</w:t>
            </w:r>
          </w:p>
        </w:tc>
        <w:tc>
          <w:tcPr>
            <w:tcW w:w="1812" w:type="dxa"/>
            <w:noWrap w:val="0"/>
            <w:vAlign w:val="top"/>
          </w:tcPr>
          <w:p w14:paraId="12007986">
            <w:pPr>
              <w:shd w:val="clear" w:color="auto" w:fill="auto"/>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0.2%</w:t>
            </w:r>
          </w:p>
        </w:tc>
      </w:tr>
      <w:tr w14:paraId="0E1F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2" w:type="dxa"/>
            <w:noWrap w:val="0"/>
            <w:vAlign w:val="top"/>
          </w:tcPr>
          <w:p w14:paraId="25B35D5C">
            <w:pPr>
              <w:shd w:val="clear" w:color="auto" w:fill="auto"/>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945" w:type="dxa"/>
            <w:noWrap w:val="0"/>
            <w:vAlign w:val="top"/>
          </w:tcPr>
          <w:p w14:paraId="47F3E70E">
            <w:pPr>
              <w:shd w:val="clear" w:color="auto" w:fill="auto"/>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795" w:type="dxa"/>
            <w:noWrap w:val="0"/>
            <w:vAlign w:val="top"/>
          </w:tcPr>
          <w:p w14:paraId="75AABE09">
            <w:pPr>
              <w:shd w:val="clear" w:color="auto" w:fill="auto"/>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812" w:type="dxa"/>
            <w:noWrap w:val="0"/>
            <w:vAlign w:val="top"/>
          </w:tcPr>
          <w:p w14:paraId="25FEA92B">
            <w:pPr>
              <w:shd w:val="clear" w:color="auto" w:fill="auto"/>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14:paraId="25A8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2" w:type="dxa"/>
            <w:noWrap w:val="0"/>
            <w:vAlign w:val="top"/>
          </w:tcPr>
          <w:p w14:paraId="6ABB6ADA">
            <w:pPr>
              <w:shd w:val="clear" w:color="auto" w:fill="auto"/>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945" w:type="dxa"/>
            <w:noWrap w:val="0"/>
            <w:vAlign w:val="top"/>
          </w:tcPr>
          <w:p w14:paraId="3DBF0E47">
            <w:pPr>
              <w:shd w:val="clear" w:color="auto" w:fill="auto"/>
              <w:spacing w:line="360" w:lineRule="auto"/>
              <w:ind w:firstLine="105" w:firstLineChars="50"/>
              <w:rPr>
                <w:rFonts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795" w:type="dxa"/>
            <w:noWrap w:val="0"/>
            <w:vAlign w:val="top"/>
          </w:tcPr>
          <w:p w14:paraId="22832FC1">
            <w:pPr>
              <w:shd w:val="clear" w:color="auto" w:fill="auto"/>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812" w:type="dxa"/>
            <w:noWrap w:val="0"/>
            <w:vAlign w:val="top"/>
          </w:tcPr>
          <w:p w14:paraId="3379840F">
            <w:pPr>
              <w:shd w:val="clear" w:color="auto" w:fill="auto"/>
              <w:spacing w:line="360" w:lineRule="auto"/>
              <w:ind w:firstLine="105" w:firstLineChars="50"/>
              <w:rPr>
                <w:rFonts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2042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2" w:type="dxa"/>
            <w:noWrap w:val="0"/>
            <w:vAlign w:val="top"/>
          </w:tcPr>
          <w:p w14:paraId="409AFB54">
            <w:pPr>
              <w:shd w:val="clear" w:color="auto" w:fill="auto"/>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945" w:type="dxa"/>
            <w:noWrap w:val="0"/>
            <w:vAlign w:val="top"/>
          </w:tcPr>
          <w:p w14:paraId="03D1CF51">
            <w:pPr>
              <w:shd w:val="clear" w:color="auto" w:fill="auto"/>
              <w:spacing w:line="360" w:lineRule="auto"/>
              <w:ind w:firstLine="105" w:firstLineChars="50"/>
              <w:rPr>
                <w:rFonts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795" w:type="dxa"/>
            <w:noWrap w:val="0"/>
            <w:vAlign w:val="top"/>
          </w:tcPr>
          <w:p w14:paraId="3B821D44">
            <w:pPr>
              <w:shd w:val="clear" w:color="auto" w:fill="auto"/>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812" w:type="dxa"/>
            <w:noWrap w:val="0"/>
            <w:vAlign w:val="top"/>
          </w:tcPr>
          <w:p w14:paraId="6BB8449C">
            <w:pPr>
              <w:shd w:val="clear" w:color="auto" w:fill="auto"/>
              <w:spacing w:line="360" w:lineRule="auto"/>
              <w:ind w:firstLine="105" w:firstLineChars="50"/>
              <w:rPr>
                <w:rFonts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20E9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2" w:type="dxa"/>
            <w:noWrap w:val="0"/>
            <w:vAlign w:val="top"/>
          </w:tcPr>
          <w:p w14:paraId="1F02A1FB">
            <w:pPr>
              <w:shd w:val="clear" w:color="auto" w:fill="auto"/>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945" w:type="dxa"/>
            <w:noWrap w:val="0"/>
            <w:vAlign w:val="top"/>
          </w:tcPr>
          <w:p w14:paraId="53EBD2A1">
            <w:pPr>
              <w:shd w:val="clear" w:color="auto" w:fill="auto"/>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795" w:type="dxa"/>
            <w:noWrap w:val="0"/>
            <w:vAlign w:val="top"/>
          </w:tcPr>
          <w:p w14:paraId="5F209962">
            <w:pPr>
              <w:shd w:val="clear" w:color="auto" w:fill="auto"/>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812" w:type="dxa"/>
            <w:noWrap w:val="0"/>
            <w:vAlign w:val="top"/>
          </w:tcPr>
          <w:p w14:paraId="1FA7B9FC">
            <w:pPr>
              <w:shd w:val="clear" w:color="auto" w:fill="auto"/>
              <w:spacing w:line="360" w:lineRule="auto"/>
              <w:ind w:firstLine="105" w:firstLineChars="50"/>
              <w:rPr>
                <w:rFonts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72FB3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2" w:type="dxa"/>
            <w:noWrap w:val="0"/>
            <w:vAlign w:val="top"/>
          </w:tcPr>
          <w:p w14:paraId="55E2F942">
            <w:pPr>
              <w:shd w:val="clear" w:color="auto" w:fill="auto"/>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100亿以上</w:t>
            </w:r>
          </w:p>
        </w:tc>
        <w:tc>
          <w:tcPr>
            <w:tcW w:w="1945" w:type="dxa"/>
            <w:noWrap w:val="0"/>
            <w:vAlign w:val="top"/>
          </w:tcPr>
          <w:p w14:paraId="1A6E1498">
            <w:pPr>
              <w:shd w:val="clear" w:color="auto" w:fill="auto"/>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795" w:type="dxa"/>
            <w:noWrap w:val="0"/>
            <w:vAlign w:val="top"/>
          </w:tcPr>
          <w:p w14:paraId="4E6C97F3">
            <w:pPr>
              <w:shd w:val="clear" w:color="auto" w:fill="auto"/>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812" w:type="dxa"/>
            <w:noWrap w:val="0"/>
            <w:vAlign w:val="top"/>
          </w:tcPr>
          <w:p w14:paraId="6E40AA93">
            <w:pPr>
              <w:shd w:val="clear" w:color="auto" w:fill="auto"/>
              <w:spacing w:line="360" w:lineRule="auto"/>
              <w:ind w:firstLine="105" w:firstLineChars="50"/>
              <w:rPr>
                <w:rFonts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6901FE2D">
      <w:pPr>
        <w:shd w:val="clear"/>
        <w:spacing w:line="360" w:lineRule="auto"/>
        <w:ind w:firstLine="420" w:firstLineChars="200"/>
        <w:rPr>
          <w:rFonts w:hint="eastAsia" w:ascii="宋体" w:hAnsi="宋体" w:cs="宋体"/>
          <w:color w:val="auto"/>
          <w:szCs w:val="21"/>
          <w:highlight w:val="none"/>
        </w:rPr>
      </w:pPr>
    </w:p>
    <w:p w14:paraId="491A8FCA">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p>
    <w:p w14:paraId="72E10227">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（1）按本表费率计算的收费为采购代理的收费基准价格；</w:t>
      </w:r>
    </w:p>
    <w:p w14:paraId="68436F3D">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（2）采购代理收费按差额定率累进法计算。</w:t>
      </w:r>
    </w:p>
    <w:p w14:paraId="39BBDE5C">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例如：某服务采购代理业务中标金额或者暂定价或者采购预算为200万元，计算采购代理收费额如下：</w:t>
      </w:r>
    </w:p>
    <w:p w14:paraId="318DBDBB">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100 万元×l.5 ％＝ 1.5 万元</w:t>
      </w:r>
    </w:p>
    <w:p w14:paraId="6B25BFC4">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200 － 100 ）万元 ×0.8％＝0.8万元</w:t>
      </w:r>
    </w:p>
    <w:p w14:paraId="7BFAB127">
      <w:pPr>
        <w:pStyle w:val="122"/>
        <w:shd w:val="clear"/>
        <w:spacing w:before="120" w:after="120"/>
        <w:ind w:firstLine="420" w:firstLineChars="200"/>
        <w:rPr>
          <w:rFonts w:hint="eastAsia" w:ascii="宋体" w:hAnsi="宋体" w:eastAsia="宋体" w:cs="宋体"/>
          <w:color w:val="auto"/>
          <w:highlight w:val="none"/>
        </w:rPr>
      </w:pPr>
      <w:bookmarkStart w:id="146" w:name="_Toc32613"/>
      <w:bookmarkStart w:id="147" w:name="_Toc30328"/>
      <w:bookmarkStart w:id="148" w:name="_Toc599"/>
      <w:r>
        <w:rPr>
          <w:rFonts w:hint="eastAsia" w:ascii="宋体" w:hAnsi="宋体" w:eastAsia="宋体" w:cs="宋体"/>
          <w:color w:val="auto"/>
          <w:highlight w:val="none"/>
        </w:rPr>
        <w:t>合计收费＝ 1.5+0.8＝2.3（万元）</w:t>
      </w:r>
      <w:bookmarkEnd w:id="146"/>
      <w:bookmarkEnd w:id="147"/>
      <w:bookmarkEnd w:id="148"/>
    </w:p>
    <w:p w14:paraId="1291AEE8">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40. 需要补充的其他内容</w:t>
      </w:r>
    </w:p>
    <w:p w14:paraId="5C7D1099">
      <w:pPr>
        <w:shd w:val="clear"/>
        <w:spacing w:before="120" w:after="120"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40.1本招标文件解释规则详见“投标人须知前附表”。</w:t>
      </w:r>
    </w:p>
    <w:p w14:paraId="0177F84C">
      <w:pPr>
        <w:shd w:val="clear"/>
        <w:spacing w:before="120" w:after="120"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40.2 其他事项详见“投标人须知前附表”。</w:t>
      </w:r>
    </w:p>
    <w:p w14:paraId="3FFC52B1">
      <w:pPr>
        <w:shd w:val="clear"/>
        <w:spacing w:before="120" w:after="120"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40.3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不对其中涉及的货物的制造商和工程承建商作出要求的，享受本文件规定的中小企业扶持政策。</w:t>
      </w:r>
    </w:p>
    <w:p w14:paraId="5D6540B6">
      <w:pPr>
        <w:shd w:val="clear"/>
        <w:spacing w:before="120" w:after="120"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以联合体形式参加政府采购活动，联合体各方均为中小企业的，联合体视同中小企业。其中，联合体各方均为小微企业的，联合体视同小微企业。</w:t>
      </w:r>
    </w:p>
    <w:p w14:paraId="67E73C63">
      <w:pPr>
        <w:shd w:val="clear"/>
        <w:spacing w:before="120" w:after="120"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依据本文件规定享受扶持政策获得政府采购合同的，小微企业不得将合同分包给大中型企业，中型企业不得将合同分包给大型企业。</w:t>
      </w:r>
      <w:bookmarkEnd w:id="83"/>
    </w:p>
    <w:p w14:paraId="7B5CB3BC">
      <w:pPr>
        <w:pStyle w:val="26"/>
        <w:shd w:val="clear"/>
        <w:snapToGrid w:val="0"/>
        <w:spacing w:before="120" w:after="120"/>
        <w:rPr>
          <w:rFonts w:hint="eastAsia" w:hAnsi="宋体"/>
          <w:color w:val="auto"/>
          <w:highlight w:val="none"/>
        </w:rPr>
      </w:pPr>
    </w:p>
    <w:p w14:paraId="05051001">
      <w:pPr>
        <w:pStyle w:val="26"/>
        <w:shd w:val="clear"/>
        <w:snapToGrid w:val="0"/>
        <w:spacing w:before="120" w:after="120"/>
        <w:rPr>
          <w:rFonts w:hint="eastAsia" w:hAnsi="宋体"/>
          <w:color w:val="auto"/>
          <w:highlight w:val="none"/>
        </w:rPr>
      </w:pPr>
    </w:p>
    <w:p w14:paraId="4FC20735">
      <w:pPr>
        <w:pStyle w:val="26"/>
        <w:shd w:val="clear"/>
        <w:snapToGrid w:val="0"/>
        <w:spacing w:before="120" w:after="120"/>
        <w:rPr>
          <w:rFonts w:hint="eastAsia" w:hAnsi="宋体"/>
          <w:color w:val="auto"/>
          <w:highlight w:val="none"/>
        </w:rPr>
      </w:pPr>
    </w:p>
    <w:p w14:paraId="0A60C527">
      <w:pPr>
        <w:pStyle w:val="26"/>
        <w:shd w:val="clear"/>
        <w:snapToGrid w:val="0"/>
        <w:spacing w:before="120" w:after="120"/>
        <w:rPr>
          <w:rFonts w:hint="eastAsia" w:hAnsi="宋体"/>
          <w:color w:val="auto"/>
          <w:highlight w:val="none"/>
        </w:rPr>
      </w:pPr>
    </w:p>
    <w:p w14:paraId="5F5E9080">
      <w:pPr>
        <w:pStyle w:val="26"/>
        <w:shd w:val="clear"/>
        <w:snapToGrid w:val="0"/>
        <w:spacing w:before="120" w:after="120"/>
        <w:rPr>
          <w:rFonts w:hint="eastAsia" w:hAnsi="宋体"/>
          <w:color w:val="auto"/>
          <w:highlight w:val="none"/>
        </w:rPr>
      </w:pPr>
    </w:p>
    <w:p w14:paraId="319471AC">
      <w:pPr>
        <w:shd w:val="clear"/>
        <w:rPr>
          <w:color w:val="auto"/>
          <w:highlight w:val="none"/>
        </w:rPr>
      </w:pPr>
      <w:bookmarkStart w:id="149" w:name="_Toc254970689"/>
      <w:bookmarkStart w:id="150" w:name="_Toc74320803"/>
      <w:bookmarkStart w:id="151" w:name="_Toc330456896"/>
      <w:bookmarkStart w:id="152" w:name="_Toc254970548"/>
      <w:r>
        <w:rPr>
          <w:rFonts w:hint="eastAsia"/>
          <w:color w:val="auto"/>
          <w:highlight w:val="none"/>
        </w:rPr>
        <w:br w:type="page"/>
      </w:r>
    </w:p>
    <w:p w14:paraId="55D477CB">
      <w:pPr>
        <w:shd w:val="clear"/>
        <w:spacing w:after="120"/>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中小微企业划型标准</w:t>
      </w:r>
    </w:p>
    <w:tbl>
      <w:tblPr>
        <w:tblStyle w:val="48"/>
        <w:tblW w:w="9656" w:type="dxa"/>
        <w:jc w:val="center"/>
        <w:tblLayout w:type="fixed"/>
        <w:tblCellMar>
          <w:top w:w="0" w:type="dxa"/>
          <w:left w:w="108" w:type="dxa"/>
          <w:bottom w:w="0" w:type="dxa"/>
          <w:right w:w="108" w:type="dxa"/>
        </w:tblCellMar>
      </w:tblPr>
      <w:tblGrid>
        <w:gridCol w:w="2010"/>
        <w:gridCol w:w="1770"/>
        <w:gridCol w:w="1095"/>
        <w:gridCol w:w="1950"/>
        <w:gridCol w:w="1695"/>
        <w:gridCol w:w="1136"/>
      </w:tblGrid>
      <w:tr w14:paraId="7519CBAB">
        <w:tblPrEx>
          <w:tblCellMar>
            <w:top w:w="0" w:type="dxa"/>
            <w:left w:w="108" w:type="dxa"/>
            <w:bottom w:w="0" w:type="dxa"/>
            <w:right w:w="108" w:type="dxa"/>
          </w:tblCellMar>
        </w:tblPrEx>
        <w:trPr>
          <w:trHeight w:val="285" w:hRule="atLeast"/>
          <w:jc w:val="center"/>
        </w:trPr>
        <w:tc>
          <w:tcPr>
            <w:tcW w:w="2010" w:type="dxa"/>
            <w:tcBorders>
              <w:top w:val="single" w:color="auto" w:sz="4" w:space="0"/>
              <w:left w:val="single" w:color="auto" w:sz="4" w:space="0"/>
              <w:bottom w:val="single" w:color="auto" w:sz="4" w:space="0"/>
              <w:right w:val="single" w:color="auto" w:sz="4" w:space="0"/>
            </w:tcBorders>
            <w:vAlign w:val="center"/>
          </w:tcPr>
          <w:p w14:paraId="6BE3D8D9">
            <w:pPr>
              <w:widowControl/>
              <w:shd w:val="clea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行业名称</w:t>
            </w:r>
          </w:p>
        </w:tc>
        <w:tc>
          <w:tcPr>
            <w:tcW w:w="1770" w:type="dxa"/>
            <w:tcBorders>
              <w:top w:val="single" w:color="auto" w:sz="4" w:space="0"/>
              <w:left w:val="nil"/>
              <w:bottom w:val="single" w:color="auto" w:sz="4" w:space="0"/>
              <w:right w:val="single" w:color="auto" w:sz="4" w:space="0"/>
            </w:tcBorders>
            <w:vAlign w:val="center"/>
          </w:tcPr>
          <w:p w14:paraId="71E76BA8">
            <w:pPr>
              <w:widowControl/>
              <w:shd w:val="clea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指标名称</w:t>
            </w:r>
          </w:p>
        </w:tc>
        <w:tc>
          <w:tcPr>
            <w:tcW w:w="1095" w:type="dxa"/>
            <w:tcBorders>
              <w:top w:val="single" w:color="auto" w:sz="4" w:space="0"/>
              <w:left w:val="nil"/>
              <w:bottom w:val="single" w:color="auto" w:sz="4" w:space="0"/>
              <w:right w:val="single" w:color="auto" w:sz="4" w:space="0"/>
            </w:tcBorders>
            <w:vAlign w:val="center"/>
          </w:tcPr>
          <w:p w14:paraId="3E76F57F">
            <w:pPr>
              <w:widowControl/>
              <w:shd w:val="clea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计量单位</w:t>
            </w:r>
          </w:p>
        </w:tc>
        <w:tc>
          <w:tcPr>
            <w:tcW w:w="1950" w:type="dxa"/>
            <w:tcBorders>
              <w:top w:val="single" w:color="auto" w:sz="4" w:space="0"/>
              <w:left w:val="nil"/>
              <w:bottom w:val="single" w:color="auto" w:sz="4" w:space="0"/>
              <w:right w:val="single" w:color="auto" w:sz="4" w:space="0"/>
            </w:tcBorders>
            <w:vAlign w:val="center"/>
          </w:tcPr>
          <w:p w14:paraId="13DF4330">
            <w:pPr>
              <w:widowControl/>
              <w:shd w:val="clea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中型</w:t>
            </w:r>
          </w:p>
        </w:tc>
        <w:tc>
          <w:tcPr>
            <w:tcW w:w="1695" w:type="dxa"/>
            <w:tcBorders>
              <w:top w:val="single" w:color="auto" w:sz="4" w:space="0"/>
              <w:left w:val="nil"/>
              <w:bottom w:val="single" w:color="auto" w:sz="4" w:space="0"/>
              <w:right w:val="single" w:color="auto" w:sz="4" w:space="0"/>
            </w:tcBorders>
            <w:vAlign w:val="center"/>
          </w:tcPr>
          <w:p w14:paraId="6FFDDABF">
            <w:pPr>
              <w:widowControl/>
              <w:shd w:val="clea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小型</w:t>
            </w:r>
          </w:p>
        </w:tc>
        <w:tc>
          <w:tcPr>
            <w:tcW w:w="1136" w:type="dxa"/>
            <w:tcBorders>
              <w:top w:val="single" w:color="auto" w:sz="4" w:space="0"/>
              <w:left w:val="nil"/>
              <w:bottom w:val="single" w:color="auto" w:sz="4" w:space="0"/>
              <w:right w:val="single" w:color="auto" w:sz="4" w:space="0"/>
            </w:tcBorders>
            <w:vAlign w:val="center"/>
          </w:tcPr>
          <w:p w14:paraId="7E4D2690">
            <w:pPr>
              <w:widowControl/>
              <w:shd w:val="clea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微型</w:t>
            </w:r>
          </w:p>
        </w:tc>
      </w:tr>
      <w:tr w14:paraId="648283E7">
        <w:tblPrEx>
          <w:tblCellMar>
            <w:top w:w="0" w:type="dxa"/>
            <w:left w:w="108" w:type="dxa"/>
            <w:bottom w:w="0" w:type="dxa"/>
            <w:right w:w="108" w:type="dxa"/>
          </w:tblCellMar>
        </w:tblPrEx>
        <w:trPr>
          <w:trHeight w:val="225" w:hRule="atLeast"/>
          <w:jc w:val="center"/>
        </w:trPr>
        <w:tc>
          <w:tcPr>
            <w:tcW w:w="2010" w:type="dxa"/>
            <w:tcBorders>
              <w:top w:val="nil"/>
              <w:left w:val="single" w:color="auto" w:sz="4" w:space="0"/>
              <w:bottom w:val="single" w:color="auto" w:sz="4" w:space="0"/>
              <w:right w:val="single" w:color="auto" w:sz="4" w:space="0"/>
            </w:tcBorders>
            <w:vAlign w:val="center"/>
          </w:tcPr>
          <w:p w14:paraId="06F3951F">
            <w:pPr>
              <w:widowControl/>
              <w:shd w:val="clear"/>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农、林、牧、渔</w:t>
            </w:r>
          </w:p>
        </w:tc>
        <w:tc>
          <w:tcPr>
            <w:tcW w:w="1770" w:type="dxa"/>
            <w:tcBorders>
              <w:top w:val="nil"/>
              <w:left w:val="nil"/>
              <w:bottom w:val="single" w:color="auto" w:sz="4" w:space="0"/>
              <w:right w:val="single" w:color="auto" w:sz="4" w:space="0"/>
            </w:tcBorders>
            <w:vAlign w:val="center"/>
          </w:tcPr>
          <w:p w14:paraId="5BF5A2D5">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5" w:type="dxa"/>
            <w:tcBorders>
              <w:top w:val="nil"/>
              <w:left w:val="nil"/>
              <w:bottom w:val="single" w:color="auto" w:sz="4" w:space="0"/>
              <w:right w:val="single" w:color="auto" w:sz="4" w:space="0"/>
            </w:tcBorders>
            <w:vAlign w:val="center"/>
          </w:tcPr>
          <w:p w14:paraId="6D03BB3D">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50" w:type="dxa"/>
            <w:tcBorders>
              <w:top w:val="nil"/>
              <w:left w:val="nil"/>
              <w:bottom w:val="single" w:color="auto" w:sz="4" w:space="0"/>
              <w:right w:val="single" w:color="auto" w:sz="4" w:space="0"/>
            </w:tcBorders>
            <w:vAlign w:val="center"/>
          </w:tcPr>
          <w:p w14:paraId="78ECC470">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695" w:type="dxa"/>
            <w:tcBorders>
              <w:top w:val="nil"/>
              <w:left w:val="nil"/>
              <w:bottom w:val="single" w:color="auto" w:sz="4" w:space="0"/>
              <w:right w:val="single" w:color="auto" w:sz="4" w:space="0"/>
            </w:tcBorders>
            <w:vAlign w:val="center"/>
          </w:tcPr>
          <w:p w14:paraId="2C4F7DC5">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50≤Y＜500</w:t>
            </w:r>
          </w:p>
        </w:tc>
        <w:tc>
          <w:tcPr>
            <w:tcW w:w="1136" w:type="dxa"/>
            <w:tcBorders>
              <w:top w:val="nil"/>
              <w:left w:val="nil"/>
              <w:bottom w:val="single" w:color="auto" w:sz="4" w:space="0"/>
              <w:right w:val="single" w:color="auto" w:sz="4" w:space="0"/>
            </w:tcBorders>
            <w:vAlign w:val="center"/>
          </w:tcPr>
          <w:p w14:paraId="2CB14724">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w:t>
            </w:r>
          </w:p>
        </w:tc>
      </w:tr>
      <w:tr w14:paraId="51ACCCCD">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4EFF5EA9">
            <w:pPr>
              <w:widowControl/>
              <w:shd w:val="clear"/>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工业</w:t>
            </w:r>
          </w:p>
        </w:tc>
        <w:tc>
          <w:tcPr>
            <w:tcW w:w="1770" w:type="dxa"/>
            <w:tcBorders>
              <w:top w:val="nil"/>
              <w:left w:val="nil"/>
              <w:bottom w:val="single" w:color="auto" w:sz="4" w:space="0"/>
              <w:right w:val="single" w:color="auto" w:sz="4" w:space="0"/>
            </w:tcBorders>
            <w:vAlign w:val="center"/>
          </w:tcPr>
          <w:p w14:paraId="24E62995">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5" w:type="dxa"/>
            <w:tcBorders>
              <w:top w:val="nil"/>
              <w:left w:val="nil"/>
              <w:bottom w:val="single" w:color="auto" w:sz="4" w:space="0"/>
              <w:right w:val="single" w:color="auto" w:sz="4" w:space="0"/>
            </w:tcBorders>
            <w:vAlign w:val="center"/>
          </w:tcPr>
          <w:p w14:paraId="4F513B6B">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50" w:type="dxa"/>
            <w:tcBorders>
              <w:top w:val="nil"/>
              <w:left w:val="nil"/>
              <w:bottom w:val="single" w:color="auto" w:sz="4" w:space="0"/>
              <w:right w:val="single" w:color="auto" w:sz="4" w:space="0"/>
            </w:tcBorders>
            <w:vAlign w:val="center"/>
          </w:tcPr>
          <w:p w14:paraId="5F222506">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695" w:type="dxa"/>
            <w:tcBorders>
              <w:top w:val="nil"/>
              <w:left w:val="nil"/>
              <w:bottom w:val="single" w:color="auto" w:sz="4" w:space="0"/>
              <w:right w:val="single" w:color="auto" w:sz="4" w:space="0"/>
            </w:tcBorders>
            <w:vAlign w:val="center"/>
          </w:tcPr>
          <w:p w14:paraId="16388170">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136" w:type="dxa"/>
            <w:tcBorders>
              <w:top w:val="nil"/>
              <w:left w:val="nil"/>
              <w:bottom w:val="single" w:color="auto" w:sz="4" w:space="0"/>
              <w:right w:val="single" w:color="auto" w:sz="4" w:space="0"/>
            </w:tcBorders>
            <w:vAlign w:val="center"/>
          </w:tcPr>
          <w:p w14:paraId="0445C6EC">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091BD288">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1B4CD895">
            <w:pPr>
              <w:widowControl/>
              <w:shd w:val="clear"/>
              <w:jc w:val="center"/>
              <w:rPr>
                <w:rFonts w:hint="eastAsia" w:ascii="宋体" w:hAnsi="宋体" w:cs="宋体"/>
                <w:b/>
                <w:bCs/>
                <w:color w:val="auto"/>
                <w:kern w:val="0"/>
                <w:szCs w:val="21"/>
                <w:highlight w:val="none"/>
              </w:rPr>
            </w:pPr>
          </w:p>
        </w:tc>
        <w:tc>
          <w:tcPr>
            <w:tcW w:w="1770" w:type="dxa"/>
            <w:tcBorders>
              <w:top w:val="nil"/>
              <w:left w:val="nil"/>
              <w:bottom w:val="single" w:color="auto" w:sz="4" w:space="0"/>
              <w:right w:val="single" w:color="auto" w:sz="4" w:space="0"/>
            </w:tcBorders>
            <w:vAlign w:val="center"/>
          </w:tcPr>
          <w:p w14:paraId="17F82807">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5" w:type="dxa"/>
            <w:tcBorders>
              <w:top w:val="nil"/>
              <w:left w:val="nil"/>
              <w:bottom w:val="single" w:color="auto" w:sz="4" w:space="0"/>
              <w:right w:val="single" w:color="auto" w:sz="4" w:space="0"/>
            </w:tcBorders>
            <w:vAlign w:val="center"/>
          </w:tcPr>
          <w:p w14:paraId="0B4FF624">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50" w:type="dxa"/>
            <w:tcBorders>
              <w:top w:val="nil"/>
              <w:left w:val="nil"/>
              <w:bottom w:val="single" w:color="auto" w:sz="4" w:space="0"/>
              <w:right w:val="single" w:color="auto" w:sz="4" w:space="0"/>
            </w:tcBorders>
            <w:vAlign w:val="center"/>
          </w:tcPr>
          <w:p w14:paraId="29F2F075">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2000≤Y＜40000</w:t>
            </w:r>
          </w:p>
        </w:tc>
        <w:tc>
          <w:tcPr>
            <w:tcW w:w="1695" w:type="dxa"/>
            <w:tcBorders>
              <w:top w:val="nil"/>
              <w:left w:val="nil"/>
              <w:bottom w:val="single" w:color="auto" w:sz="4" w:space="0"/>
              <w:right w:val="single" w:color="auto" w:sz="4" w:space="0"/>
            </w:tcBorders>
            <w:vAlign w:val="center"/>
          </w:tcPr>
          <w:p w14:paraId="5FBA78C8">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300≤Y＜2000</w:t>
            </w:r>
          </w:p>
        </w:tc>
        <w:tc>
          <w:tcPr>
            <w:tcW w:w="1136" w:type="dxa"/>
            <w:tcBorders>
              <w:top w:val="nil"/>
              <w:left w:val="nil"/>
              <w:bottom w:val="single" w:color="auto" w:sz="4" w:space="0"/>
              <w:right w:val="single" w:color="auto" w:sz="4" w:space="0"/>
            </w:tcBorders>
            <w:vAlign w:val="center"/>
          </w:tcPr>
          <w:p w14:paraId="69F84D62">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Y＜300</w:t>
            </w:r>
          </w:p>
        </w:tc>
      </w:tr>
      <w:tr w14:paraId="7672207A">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3731972D">
            <w:pPr>
              <w:widowControl/>
              <w:shd w:val="clear"/>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建筑业</w:t>
            </w:r>
          </w:p>
        </w:tc>
        <w:tc>
          <w:tcPr>
            <w:tcW w:w="1770" w:type="dxa"/>
            <w:tcBorders>
              <w:top w:val="nil"/>
              <w:left w:val="nil"/>
              <w:bottom w:val="single" w:color="auto" w:sz="4" w:space="0"/>
              <w:right w:val="single" w:color="auto" w:sz="4" w:space="0"/>
            </w:tcBorders>
            <w:vAlign w:val="center"/>
          </w:tcPr>
          <w:p w14:paraId="6C5A805B">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5" w:type="dxa"/>
            <w:tcBorders>
              <w:top w:val="nil"/>
              <w:left w:val="nil"/>
              <w:bottom w:val="single" w:color="auto" w:sz="4" w:space="0"/>
              <w:right w:val="single" w:color="auto" w:sz="4" w:space="0"/>
            </w:tcBorders>
            <w:vAlign w:val="center"/>
          </w:tcPr>
          <w:p w14:paraId="22E0A52F">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50" w:type="dxa"/>
            <w:tcBorders>
              <w:top w:val="nil"/>
              <w:left w:val="nil"/>
              <w:bottom w:val="single" w:color="auto" w:sz="4" w:space="0"/>
              <w:right w:val="single" w:color="auto" w:sz="4" w:space="0"/>
            </w:tcBorders>
            <w:vAlign w:val="center"/>
          </w:tcPr>
          <w:p w14:paraId="7F8E5C21">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6000≤Y＜80000</w:t>
            </w:r>
          </w:p>
        </w:tc>
        <w:tc>
          <w:tcPr>
            <w:tcW w:w="1695" w:type="dxa"/>
            <w:tcBorders>
              <w:top w:val="nil"/>
              <w:left w:val="nil"/>
              <w:bottom w:val="single" w:color="auto" w:sz="4" w:space="0"/>
              <w:right w:val="single" w:color="auto" w:sz="4" w:space="0"/>
            </w:tcBorders>
            <w:vAlign w:val="center"/>
          </w:tcPr>
          <w:p w14:paraId="5CD90A83">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300≤Y＜6000</w:t>
            </w:r>
          </w:p>
        </w:tc>
        <w:tc>
          <w:tcPr>
            <w:tcW w:w="1136" w:type="dxa"/>
            <w:tcBorders>
              <w:top w:val="nil"/>
              <w:left w:val="nil"/>
              <w:bottom w:val="single" w:color="auto" w:sz="4" w:space="0"/>
              <w:right w:val="single" w:color="auto" w:sz="4" w:space="0"/>
            </w:tcBorders>
            <w:vAlign w:val="center"/>
          </w:tcPr>
          <w:p w14:paraId="7FE89F8F">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Y＜300</w:t>
            </w:r>
          </w:p>
        </w:tc>
      </w:tr>
      <w:tr w14:paraId="614B7D83">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75B337DD">
            <w:pPr>
              <w:widowControl/>
              <w:shd w:val="clear"/>
              <w:jc w:val="center"/>
              <w:rPr>
                <w:rFonts w:hint="eastAsia" w:ascii="宋体" w:hAnsi="宋体" w:cs="宋体"/>
                <w:b/>
                <w:bCs/>
                <w:color w:val="auto"/>
                <w:kern w:val="0"/>
                <w:szCs w:val="21"/>
                <w:highlight w:val="none"/>
              </w:rPr>
            </w:pPr>
          </w:p>
        </w:tc>
        <w:tc>
          <w:tcPr>
            <w:tcW w:w="1770" w:type="dxa"/>
            <w:tcBorders>
              <w:top w:val="nil"/>
              <w:left w:val="nil"/>
              <w:bottom w:val="single" w:color="auto" w:sz="4" w:space="0"/>
              <w:right w:val="single" w:color="auto" w:sz="4" w:space="0"/>
            </w:tcBorders>
            <w:vAlign w:val="center"/>
          </w:tcPr>
          <w:p w14:paraId="7518F520">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95" w:type="dxa"/>
            <w:tcBorders>
              <w:top w:val="nil"/>
              <w:left w:val="nil"/>
              <w:bottom w:val="single" w:color="auto" w:sz="4" w:space="0"/>
              <w:right w:val="single" w:color="auto" w:sz="4" w:space="0"/>
            </w:tcBorders>
            <w:vAlign w:val="center"/>
          </w:tcPr>
          <w:p w14:paraId="5929154D">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50" w:type="dxa"/>
            <w:tcBorders>
              <w:top w:val="nil"/>
              <w:left w:val="nil"/>
              <w:bottom w:val="single" w:color="auto" w:sz="4" w:space="0"/>
              <w:right w:val="single" w:color="auto" w:sz="4" w:space="0"/>
            </w:tcBorders>
            <w:vAlign w:val="center"/>
          </w:tcPr>
          <w:p w14:paraId="5FE5F597">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5000≤Z＜80000</w:t>
            </w:r>
          </w:p>
        </w:tc>
        <w:tc>
          <w:tcPr>
            <w:tcW w:w="1695" w:type="dxa"/>
            <w:tcBorders>
              <w:top w:val="nil"/>
              <w:left w:val="nil"/>
              <w:bottom w:val="single" w:color="auto" w:sz="4" w:space="0"/>
              <w:right w:val="single" w:color="auto" w:sz="4" w:space="0"/>
            </w:tcBorders>
            <w:vAlign w:val="center"/>
          </w:tcPr>
          <w:p w14:paraId="05856A61">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300≤Z＜5000</w:t>
            </w:r>
          </w:p>
        </w:tc>
        <w:tc>
          <w:tcPr>
            <w:tcW w:w="1136" w:type="dxa"/>
            <w:tcBorders>
              <w:top w:val="nil"/>
              <w:left w:val="nil"/>
              <w:bottom w:val="single" w:color="auto" w:sz="4" w:space="0"/>
              <w:right w:val="single" w:color="auto" w:sz="4" w:space="0"/>
            </w:tcBorders>
            <w:vAlign w:val="center"/>
          </w:tcPr>
          <w:p w14:paraId="58A078D7">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Z＜300</w:t>
            </w:r>
          </w:p>
        </w:tc>
      </w:tr>
      <w:tr w14:paraId="4DC08E23">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14F23397">
            <w:pPr>
              <w:widowControl/>
              <w:shd w:val="clear"/>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批发业</w:t>
            </w:r>
          </w:p>
        </w:tc>
        <w:tc>
          <w:tcPr>
            <w:tcW w:w="1770" w:type="dxa"/>
            <w:tcBorders>
              <w:top w:val="nil"/>
              <w:left w:val="nil"/>
              <w:bottom w:val="single" w:color="auto" w:sz="4" w:space="0"/>
              <w:right w:val="single" w:color="auto" w:sz="4" w:space="0"/>
            </w:tcBorders>
            <w:vAlign w:val="center"/>
          </w:tcPr>
          <w:p w14:paraId="615638C8">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5" w:type="dxa"/>
            <w:tcBorders>
              <w:top w:val="nil"/>
              <w:left w:val="nil"/>
              <w:bottom w:val="single" w:color="auto" w:sz="4" w:space="0"/>
              <w:right w:val="single" w:color="auto" w:sz="4" w:space="0"/>
            </w:tcBorders>
            <w:vAlign w:val="center"/>
          </w:tcPr>
          <w:p w14:paraId="387EDD90">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50" w:type="dxa"/>
            <w:tcBorders>
              <w:top w:val="nil"/>
              <w:left w:val="nil"/>
              <w:bottom w:val="single" w:color="auto" w:sz="4" w:space="0"/>
              <w:right w:val="single" w:color="auto" w:sz="4" w:space="0"/>
            </w:tcBorders>
            <w:vAlign w:val="center"/>
          </w:tcPr>
          <w:p w14:paraId="7E6C0053">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20≤X＜200</w:t>
            </w:r>
          </w:p>
        </w:tc>
        <w:tc>
          <w:tcPr>
            <w:tcW w:w="1695" w:type="dxa"/>
            <w:tcBorders>
              <w:top w:val="nil"/>
              <w:left w:val="nil"/>
              <w:bottom w:val="single" w:color="auto" w:sz="4" w:space="0"/>
              <w:right w:val="single" w:color="auto" w:sz="4" w:space="0"/>
            </w:tcBorders>
            <w:vAlign w:val="center"/>
          </w:tcPr>
          <w:p w14:paraId="50D5198A">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5≤X＜20</w:t>
            </w:r>
          </w:p>
        </w:tc>
        <w:tc>
          <w:tcPr>
            <w:tcW w:w="1136" w:type="dxa"/>
            <w:tcBorders>
              <w:top w:val="nil"/>
              <w:left w:val="nil"/>
              <w:bottom w:val="single" w:color="auto" w:sz="4" w:space="0"/>
              <w:right w:val="single" w:color="auto" w:sz="4" w:space="0"/>
            </w:tcBorders>
            <w:vAlign w:val="center"/>
          </w:tcPr>
          <w:p w14:paraId="27A44FC9">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X＜5</w:t>
            </w:r>
          </w:p>
        </w:tc>
      </w:tr>
      <w:tr w14:paraId="463F6F27">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6A84E0DC">
            <w:pPr>
              <w:widowControl/>
              <w:shd w:val="clear"/>
              <w:jc w:val="center"/>
              <w:rPr>
                <w:rFonts w:hint="eastAsia" w:ascii="宋体" w:hAnsi="宋体" w:cs="宋体"/>
                <w:b/>
                <w:bCs/>
                <w:color w:val="auto"/>
                <w:kern w:val="0"/>
                <w:szCs w:val="21"/>
                <w:highlight w:val="none"/>
              </w:rPr>
            </w:pPr>
          </w:p>
        </w:tc>
        <w:tc>
          <w:tcPr>
            <w:tcW w:w="1770" w:type="dxa"/>
            <w:tcBorders>
              <w:top w:val="nil"/>
              <w:left w:val="nil"/>
              <w:bottom w:val="single" w:color="auto" w:sz="4" w:space="0"/>
              <w:right w:val="single" w:color="auto" w:sz="4" w:space="0"/>
            </w:tcBorders>
            <w:vAlign w:val="center"/>
          </w:tcPr>
          <w:p w14:paraId="2024145C">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5" w:type="dxa"/>
            <w:tcBorders>
              <w:top w:val="nil"/>
              <w:left w:val="nil"/>
              <w:bottom w:val="single" w:color="auto" w:sz="4" w:space="0"/>
              <w:right w:val="single" w:color="auto" w:sz="4" w:space="0"/>
            </w:tcBorders>
            <w:vAlign w:val="center"/>
          </w:tcPr>
          <w:p w14:paraId="2F082C39">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50" w:type="dxa"/>
            <w:tcBorders>
              <w:top w:val="nil"/>
              <w:left w:val="nil"/>
              <w:bottom w:val="single" w:color="auto" w:sz="4" w:space="0"/>
              <w:right w:val="single" w:color="auto" w:sz="4" w:space="0"/>
            </w:tcBorders>
            <w:vAlign w:val="center"/>
          </w:tcPr>
          <w:p w14:paraId="63E82972">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5000≤Y＜40000</w:t>
            </w:r>
          </w:p>
        </w:tc>
        <w:tc>
          <w:tcPr>
            <w:tcW w:w="1695" w:type="dxa"/>
            <w:tcBorders>
              <w:top w:val="nil"/>
              <w:left w:val="nil"/>
              <w:bottom w:val="single" w:color="auto" w:sz="4" w:space="0"/>
              <w:right w:val="single" w:color="auto" w:sz="4" w:space="0"/>
            </w:tcBorders>
            <w:vAlign w:val="center"/>
          </w:tcPr>
          <w:p w14:paraId="4FBD247A">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136" w:type="dxa"/>
            <w:tcBorders>
              <w:top w:val="nil"/>
              <w:left w:val="nil"/>
              <w:bottom w:val="single" w:color="auto" w:sz="4" w:space="0"/>
              <w:right w:val="single" w:color="auto" w:sz="4" w:space="0"/>
            </w:tcBorders>
            <w:vAlign w:val="center"/>
          </w:tcPr>
          <w:p w14:paraId="1A797BAB">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Y＜1000</w:t>
            </w:r>
          </w:p>
        </w:tc>
      </w:tr>
      <w:tr w14:paraId="4E43890C">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52313DA7">
            <w:pPr>
              <w:widowControl/>
              <w:shd w:val="clear"/>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零售业</w:t>
            </w:r>
          </w:p>
        </w:tc>
        <w:tc>
          <w:tcPr>
            <w:tcW w:w="1770" w:type="dxa"/>
            <w:tcBorders>
              <w:top w:val="nil"/>
              <w:left w:val="nil"/>
              <w:bottom w:val="single" w:color="auto" w:sz="4" w:space="0"/>
              <w:right w:val="single" w:color="auto" w:sz="4" w:space="0"/>
            </w:tcBorders>
            <w:vAlign w:val="center"/>
          </w:tcPr>
          <w:p w14:paraId="51797B54">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5" w:type="dxa"/>
            <w:tcBorders>
              <w:top w:val="nil"/>
              <w:left w:val="nil"/>
              <w:bottom w:val="single" w:color="auto" w:sz="4" w:space="0"/>
              <w:right w:val="single" w:color="auto" w:sz="4" w:space="0"/>
            </w:tcBorders>
            <w:vAlign w:val="center"/>
          </w:tcPr>
          <w:p w14:paraId="0E5084FF">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50" w:type="dxa"/>
            <w:tcBorders>
              <w:top w:val="nil"/>
              <w:left w:val="nil"/>
              <w:bottom w:val="single" w:color="auto" w:sz="4" w:space="0"/>
              <w:right w:val="single" w:color="auto" w:sz="4" w:space="0"/>
            </w:tcBorders>
            <w:vAlign w:val="center"/>
          </w:tcPr>
          <w:p w14:paraId="2E17EDE7">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50≤X＜300</w:t>
            </w:r>
          </w:p>
        </w:tc>
        <w:tc>
          <w:tcPr>
            <w:tcW w:w="1695" w:type="dxa"/>
            <w:tcBorders>
              <w:top w:val="nil"/>
              <w:left w:val="nil"/>
              <w:bottom w:val="single" w:color="auto" w:sz="4" w:space="0"/>
              <w:right w:val="single" w:color="auto" w:sz="4" w:space="0"/>
            </w:tcBorders>
            <w:vAlign w:val="center"/>
          </w:tcPr>
          <w:p w14:paraId="2C4EC9BE">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10≤X＜50</w:t>
            </w:r>
          </w:p>
        </w:tc>
        <w:tc>
          <w:tcPr>
            <w:tcW w:w="1136" w:type="dxa"/>
            <w:tcBorders>
              <w:top w:val="nil"/>
              <w:left w:val="nil"/>
              <w:bottom w:val="single" w:color="auto" w:sz="4" w:space="0"/>
              <w:right w:val="single" w:color="auto" w:sz="4" w:space="0"/>
            </w:tcBorders>
            <w:vAlign w:val="center"/>
          </w:tcPr>
          <w:p w14:paraId="28AFAE39">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4C34B3CC">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6EB380BA">
            <w:pPr>
              <w:widowControl/>
              <w:shd w:val="clear"/>
              <w:jc w:val="center"/>
              <w:rPr>
                <w:rFonts w:hint="eastAsia" w:ascii="宋体" w:hAnsi="宋体" w:cs="宋体"/>
                <w:b/>
                <w:bCs/>
                <w:color w:val="auto"/>
                <w:kern w:val="0"/>
                <w:szCs w:val="21"/>
                <w:highlight w:val="none"/>
              </w:rPr>
            </w:pPr>
          </w:p>
        </w:tc>
        <w:tc>
          <w:tcPr>
            <w:tcW w:w="1770" w:type="dxa"/>
            <w:tcBorders>
              <w:top w:val="nil"/>
              <w:left w:val="nil"/>
              <w:bottom w:val="single" w:color="auto" w:sz="4" w:space="0"/>
              <w:right w:val="single" w:color="auto" w:sz="4" w:space="0"/>
            </w:tcBorders>
            <w:vAlign w:val="center"/>
          </w:tcPr>
          <w:p w14:paraId="1160CBD3">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5" w:type="dxa"/>
            <w:tcBorders>
              <w:top w:val="nil"/>
              <w:left w:val="nil"/>
              <w:bottom w:val="single" w:color="auto" w:sz="4" w:space="0"/>
              <w:right w:val="single" w:color="auto" w:sz="4" w:space="0"/>
            </w:tcBorders>
            <w:vAlign w:val="center"/>
          </w:tcPr>
          <w:p w14:paraId="435AB613">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50" w:type="dxa"/>
            <w:tcBorders>
              <w:top w:val="nil"/>
              <w:left w:val="nil"/>
              <w:bottom w:val="single" w:color="auto" w:sz="4" w:space="0"/>
              <w:right w:val="single" w:color="auto" w:sz="4" w:space="0"/>
            </w:tcBorders>
            <w:vAlign w:val="center"/>
          </w:tcPr>
          <w:p w14:paraId="084B59FB">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695" w:type="dxa"/>
            <w:tcBorders>
              <w:top w:val="nil"/>
              <w:left w:val="nil"/>
              <w:bottom w:val="single" w:color="auto" w:sz="4" w:space="0"/>
              <w:right w:val="single" w:color="auto" w:sz="4" w:space="0"/>
            </w:tcBorders>
            <w:vAlign w:val="center"/>
          </w:tcPr>
          <w:p w14:paraId="5233C482">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100≤Y＜500</w:t>
            </w:r>
          </w:p>
        </w:tc>
        <w:tc>
          <w:tcPr>
            <w:tcW w:w="1136" w:type="dxa"/>
            <w:tcBorders>
              <w:top w:val="nil"/>
              <w:left w:val="nil"/>
              <w:bottom w:val="single" w:color="auto" w:sz="4" w:space="0"/>
              <w:right w:val="single" w:color="auto" w:sz="4" w:space="0"/>
            </w:tcBorders>
            <w:vAlign w:val="center"/>
          </w:tcPr>
          <w:p w14:paraId="5902613C">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10B6ECDC">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5DB886B2">
            <w:pPr>
              <w:widowControl/>
              <w:shd w:val="clear"/>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交通运输业</w:t>
            </w:r>
          </w:p>
        </w:tc>
        <w:tc>
          <w:tcPr>
            <w:tcW w:w="1770" w:type="dxa"/>
            <w:tcBorders>
              <w:top w:val="nil"/>
              <w:left w:val="nil"/>
              <w:bottom w:val="single" w:color="auto" w:sz="4" w:space="0"/>
              <w:right w:val="single" w:color="auto" w:sz="4" w:space="0"/>
            </w:tcBorders>
            <w:vAlign w:val="center"/>
          </w:tcPr>
          <w:p w14:paraId="66801DA8">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5" w:type="dxa"/>
            <w:tcBorders>
              <w:top w:val="nil"/>
              <w:left w:val="nil"/>
              <w:bottom w:val="single" w:color="auto" w:sz="4" w:space="0"/>
              <w:right w:val="single" w:color="auto" w:sz="4" w:space="0"/>
            </w:tcBorders>
            <w:vAlign w:val="center"/>
          </w:tcPr>
          <w:p w14:paraId="0B24247F">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50" w:type="dxa"/>
            <w:tcBorders>
              <w:top w:val="nil"/>
              <w:left w:val="nil"/>
              <w:bottom w:val="single" w:color="auto" w:sz="4" w:space="0"/>
              <w:right w:val="single" w:color="auto" w:sz="4" w:space="0"/>
            </w:tcBorders>
            <w:vAlign w:val="center"/>
          </w:tcPr>
          <w:p w14:paraId="27DBE0B0">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695" w:type="dxa"/>
            <w:tcBorders>
              <w:top w:val="nil"/>
              <w:left w:val="nil"/>
              <w:bottom w:val="single" w:color="auto" w:sz="4" w:space="0"/>
              <w:right w:val="single" w:color="auto" w:sz="4" w:space="0"/>
            </w:tcBorders>
            <w:vAlign w:val="center"/>
          </w:tcPr>
          <w:p w14:paraId="3BADEC7E">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136" w:type="dxa"/>
            <w:tcBorders>
              <w:top w:val="nil"/>
              <w:left w:val="nil"/>
              <w:bottom w:val="single" w:color="auto" w:sz="4" w:space="0"/>
              <w:right w:val="single" w:color="auto" w:sz="4" w:space="0"/>
            </w:tcBorders>
            <w:vAlign w:val="center"/>
          </w:tcPr>
          <w:p w14:paraId="7A566418">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06A6656B">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7A8A1541">
            <w:pPr>
              <w:widowControl/>
              <w:shd w:val="clear"/>
              <w:jc w:val="center"/>
              <w:rPr>
                <w:rFonts w:hint="eastAsia" w:ascii="宋体" w:hAnsi="宋体" w:cs="宋体"/>
                <w:b/>
                <w:bCs/>
                <w:color w:val="auto"/>
                <w:kern w:val="0"/>
                <w:szCs w:val="21"/>
                <w:highlight w:val="none"/>
              </w:rPr>
            </w:pPr>
          </w:p>
        </w:tc>
        <w:tc>
          <w:tcPr>
            <w:tcW w:w="1770" w:type="dxa"/>
            <w:tcBorders>
              <w:top w:val="nil"/>
              <w:left w:val="nil"/>
              <w:bottom w:val="single" w:color="auto" w:sz="4" w:space="0"/>
              <w:right w:val="single" w:color="auto" w:sz="4" w:space="0"/>
            </w:tcBorders>
            <w:vAlign w:val="center"/>
          </w:tcPr>
          <w:p w14:paraId="196BE9CF">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5" w:type="dxa"/>
            <w:tcBorders>
              <w:top w:val="nil"/>
              <w:left w:val="nil"/>
              <w:bottom w:val="single" w:color="auto" w:sz="4" w:space="0"/>
              <w:right w:val="single" w:color="auto" w:sz="4" w:space="0"/>
            </w:tcBorders>
            <w:vAlign w:val="center"/>
          </w:tcPr>
          <w:p w14:paraId="30F80A1C">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50" w:type="dxa"/>
            <w:tcBorders>
              <w:top w:val="nil"/>
              <w:left w:val="nil"/>
              <w:bottom w:val="single" w:color="auto" w:sz="4" w:space="0"/>
              <w:right w:val="single" w:color="auto" w:sz="4" w:space="0"/>
            </w:tcBorders>
            <w:vAlign w:val="center"/>
          </w:tcPr>
          <w:p w14:paraId="504EB210">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3000≤Y＜30000</w:t>
            </w:r>
          </w:p>
        </w:tc>
        <w:tc>
          <w:tcPr>
            <w:tcW w:w="1695" w:type="dxa"/>
            <w:tcBorders>
              <w:top w:val="nil"/>
              <w:left w:val="nil"/>
              <w:bottom w:val="single" w:color="auto" w:sz="4" w:space="0"/>
              <w:right w:val="single" w:color="auto" w:sz="4" w:space="0"/>
            </w:tcBorders>
            <w:vAlign w:val="center"/>
          </w:tcPr>
          <w:p w14:paraId="2652C70C">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200≤Y＜3000</w:t>
            </w:r>
          </w:p>
        </w:tc>
        <w:tc>
          <w:tcPr>
            <w:tcW w:w="1136" w:type="dxa"/>
            <w:tcBorders>
              <w:top w:val="nil"/>
              <w:left w:val="nil"/>
              <w:bottom w:val="single" w:color="auto" w:sz="4" w:space="0"/>
              <w:right w:val="single" w:color="auto" w:sz="4" w:space="0"/>
            </w:tcBorders>
            <w:vAlign w:val="center"/>
          </w:tcPr>
          <w:p w14:paraId="539948AC">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Y＜200</w:t>
            </w:r>
          </w:p>
        </w:tc>
      </w:tr>
      <w:tr w14:paraId="235ACC75">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452575FB">
            <w:pPr>
              <w:widowControl/>
              <w:shd w:val="clear"/>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仓储业</w:t>
            </w:r>
          </w:p>
        </w:tc>
        <w:tc>
          <w:tcPr>
            <w:tcW w:w="1770" w:type="dxa"/>
            <w:tcBorders>
              <w:top w:val="nil"/>
              <w:left w:val="nil"/>
              <w:bottom w:val="single" w:color="auto" w:sz="4" w:space="0"/>
              <w:right w:val="single" w:color="auto" w:sz="4" w:space="0"/>
            </w:tcBorders>
            <w:vAlign w:val="center"/>
          </w:tcPr>
          <w:p w14:paraId="59E9CBCA">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5" w:type="dxa"/>
            <w:tcBorders>
              <w:top w:val="nil"/>
              <w:left w:val="nil"/>
              <w:bottom w:val="single" w:color="auto" w:sz="4" w:space="0"/>
              <w:right w:val="single" w:color="auto" w:sz="4" w:space="0"/>
            </w:tcBorders>
            <w:vAlign w:val="center"/>
          </w:tcPr>
          <w:p w14:paraId="6F42C279">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50" w:type="dxa"/>
            <w:tcBorders>
              <w:top w:val="nil"/>
              <w:left w:val="nil"/>
              <w:bottom w:val="single" w:color="auto" w:sz="4" w:space="0"/>
              <w:right w:val="single" w:color="auto" w:sz="4" w:space="0"/>
            </w:tcBorders>
            <w:vAlign w:val="center"/>
          </w:tcPr>
          <w:p w14:paraId="095C03E1">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100≤X＜200</w:t>
            </w:r>
          </w:p>
        </w:tc>
        <w:tc>
          <w:tcPr>
            <w:tcW w:w="1695" w:type="dxa"/>
            <w:tcBorders>
              <w:top w:val="nil"/>
              <w:left w:val="nil"/>
              <w:bottom w:val="single" w:color="auto" w:sz="4" w:space="0"/>
              <w:right w:val="single" w:color="auto" w:sz="4" w:space="0"/>
            </w:tcBorders>
            <w:vAlign w:val="center"/>
          </w:tcPr>
          <w:p w14:paraId="612AEB90">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20≤X＜100</w:t>
            </w:r>
          </w:p>
        </w:tc>
        <w:tc>
          <w:tcPr>
            <w:tcW w:w="1136" w:type="dxa"/>
            <w:tcBorders>
              <w:top w:val="nil"/>
              <w:left w:val="nil"/>
              <w:bottom w:val="single" w:color="auto" w:sz="4" w:space="0"/>
              <w:right w:val="single" w:color="auto" w:sz="4" w:space="0"/>
            </w:tcBorders>
            <w:vAlign w:val="center"/>
          </w:tcPr>
          <w:p w14:paraId="419469D2">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7E4FFF4E">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5083E9FC">
            <w:pPr>
              <w:widowControl/>
              <w:shd w:val="clear"/>
              <w:jc w:val="center"/>
              <w:rPr>
                <w:rFonts w:hint="eastAsia" w:ascii="宋体" w:hAnsi="宋体" w:cs="宋体"/>
                <w:b/>
                <w:bCs/>
                <w:color w:val="auto"/>
                <w:kern w:val="0"/>
                <w:szCs w:val="21"/>
                <w:highlight w:val="none"/>
              </w:rPr>
            </w:pPr>
          </w:p>
        </w:tc>
        <w:tc>
          <w:tcPr>
            <w:tcW w:w="1770" w:type="dxa"/>
            <w:tcBorders>
              <w:top w:val="nil"/>
              <w:left w:val="nil"/>
              <w:bottom w:val="single" w:color="auto" w:sz="4" w:space="0"/>
              <w:right w:val="single" w:color="auto" w:sz="4" w:space="0"/>
            </w:tcBorders>
            <w:vAlign w:val="center"/>
          </w:tcPr>
          <w:p w14:paraId="34ACAC6F">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5" w:type="dxa"/>
            <w:tcBorders>
              <w:top w:val="nil"/>
              <w:left w:val="nil"/>
              <w:bottom w:val="single" w:color="auto" w:sz="4" w:space="0"/>
              <w:right w:val="single" w:color="auto" w:sz="4" w:space="0"/>
            </w:tcBorders>
            <w:vAlign w:val="center"/>
          </w:tcPr>
          <w:p w14:paraId="68FB749F">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50" w:type="dxa"/>
            <w:tcBorders>
              <w:top w:val="nil"/>
              <w:left w:val="nil"/>
              <w:bottom w:val="single" w:color="auto" w:sz="4" w:space="0"/>
              <w:right w:val="single" w:color="auto" w:sz="4" w:space="0"/>
            </w:tcBorders>
            <w:vAlign w:val="center"/>
          </w:tcPr>
          <w:p w14:paraId="10B31C62">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1000≤Y＜30000</w:t>
            </w:r>
          </w:p>
        </w:tc>
        <w:tc>
          <w:tcPr>
            <w:tcW w:w="1695" w:type="dxa"/>
            <w:tcBorders>
              <w:top w:val="nil"/>
              <w:left w:val="nil"/>
              <w:bottom w:val="single" w:color="auto" w:sz="4" w:space="0"/>
              <w:right w:val="single" w:color="auto" w:sz="4" w:space="0"/>
            </w:tcBorders>
            <w:vAlign w:val="center"/>
          </w:tcPr>
          <w:p w14:paraId="05C603B3">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136" w:type="dxa"/>
            <w:tcBorders>
              <w:top w:val="nil"/>
              <w:left w:val="nil"/>
              <w:bottom w:val="single" w:color="auto" w:sz="4" w:space="0"/>
              <w:right w:val="single" w:color="auto" w:sz="4" w:space="0"/>
            </w:tcBorders>
            <w:vAlign w:val="center"/>
          </w:tcPr>
          <w:p w14:paraId="58B48A8F">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29801B5B">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680600A6">
            <w:pPr>
              <w:widowControl/>
              <w:shd w:val="clear"/>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邮政业</w:t>
            </w:r>
          </w:p>
        </w:tc>
        <w:tc>
          <w:tcPr>
            <w:tcW w:w="1770" w:type="dxa"/>
            <w:tcBorders>
              <w:top w:val="nil"/>
              <w:left w:val="nil"/>
              <w:bottom w:val="single" w:color="auto" w:sz="4" w:space="0"/>
              <w:right w:val="single" w:color="auto" w:sz="4" w:space="0"/>
            </w:tcBorders>
            <w:vAlign w:val="center"/>
          </w:tcPr>
          <w:p w14:paraId="67ABC26B">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5" w:type="dxa"/>
            <w:tcBorders>
              <w:top w:val="nil"/>
              <w:left w:val="nil"/>
              <w:bottom w:val="single" w:color="auto" w:sz="4" w:space="0"/>
              <w:right w:val="single" w:color="auto" w:sz="4" w:space="0"/>
            </w:tcBorders>
            <w:vAlign w:val="center"/>
          </w:tcPr>
          <w:p w14:paraId="5A8E0AAD">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50" w:type="dxa"/>
            <w:tcBorders>
              <w:top w:val="nil"/>
              <w:left w:val="nil"/>
              <w:bottom w:val="single" w:color="auto" w:sz="4" w:space="0"/>
              <w:right w:val="single" w:color="auto" w:sz="4" w:space="0"/>
            </w:tcBorders>
            <w:vAlign w:val="center"/>
          </w:tcPr>
          <w:p w14:paraId="37C03E85">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695" w:type="dxa"/>
            <w:tcBorders>
              <w:top w:val="nil"/>
              <w:left w:val="nil"/>
              <w:bottom w:val="single" w:color="auto" w:sz="4" w:space="0"/>
              <w:right w:val="single" w:color="auto" w:sz="4" w:space="0"/>
            </w:tcBorders>
            <w:vAlign w:val="center"/>
          </w:tcPr>
          <w:p w14:paraId="613AC6AE">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136" w:type="dxa"/>
            <w:tcBorders>
              <w:top w:val="nil"/>
              <w:left w:val="nil"/>
              <w:bottom w:val="single" w:color="auto" w:sz="4" w:space="0"/>
              <w:right w:val="single" w:color="auto" w:sz="4" w:space="0"/>
            </w:tcBorders>
            <w:vAlign w:val="center"/>
          </w:tcPr>
          <w:p w14:paraId="07C806D0">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35B9EC29">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7ED9FD83">
            <w:pPr>
              <w:widowControl/>
              <w:shd w:val="clear"/>
              <w:jc w:val="center"/>
              <w:rPr>
                <w:rFonts w:hint="eastAsia" w:ascii="宋体" w:hAnsi="宋体" w:cs="宋体"/>
                <w:b/>
                <w:bCs/>
                <w:color w:val="auto"/>
                <w:kern w:val="0"/>
                <w:szCs w:val="21"/>
                <w:highlight w:val="none"/>
              </w:rPr>
            </w:pPr>
          </w:p>
        </w:tc>
        <w:tc>
          <w:tcPr>
            <w:tcW w:w="1770" w:type="dxa"/>
            <w:tcBorders>
              <w:top w:val="nil"/>
              <w:left w:val="nil"/>
              <w:bottom w:val="single" w:color="auto" w:sz="4" w:space="0"/>
              <w:right w:val="single" w:color="auto" w:sz="4" w:space="0"/>
            </w:tcBorders>
            <w:vAlign w:val="center"/>
          </w:tcPr>
          <w:p w14:paraId="532E8732">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5" w:type="dxa"/>
            <w:tcBorders>
              <w:top w:val="nil"/>
              <w:left w:val="nil"/>
              <w:bottom w:val="single" w:color="auto" w:sz="4" w:space="0"/>
              <w:right w:val="single" w:color="auto" w:sz="4" w:space="0"/>
            </w:tcBorders>
            <w:vAlign w:val="center"/>
          </w:tcPr>
          <w:p w14:paraId="59B8CFBD">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50" w:type="dxa"/>
            <w:tcBorders>
              <w:top w:val="nil"/>
              <w:left w:val="nil"/>
              <w:bottom w:val="single" w:color="auto" w:sz="4" w:space="0"/>
              <w:right w:val="single" w:color="auto" w:sz="4" w:space="0"/>
            </w:tcBorders>
            <w:vAlign w:val="center"/>
          </w:tcPr>
          <w:p w14:paraId="557F5746">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2000≤Y＜30000</w:t>
            </w:r>
          </w:p>
        </w:tc>
        <w:tc>
          <w:tcPr>
            <w:tcW w:w="1695" w:type="dxa"/>
            <w:tcBorders>
              <w:top w:val="nil"/>
              <w:left w:val="nil"/>
              <w:bottom w:val="single" w:color="auto" w:sz="4" w:space="0"/>
              <w:right w:val="single" w:color="auto" w:sz="4" w:space="0"/>
            </w:tcBorders>
            <w:vAlign w:val="center"/>
          </w:tcPr>
          <w:p w14:paraId="79B2A201">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136" w:type="dxa"/>
            <w:tcBorders>
              <w:top w:val="nil"/>
              <w:left w:val="nil"/>
              <w:bottom w:val="single" w:color="auto" w:sz="4" w:space="0"/>
              <w:right w:val="single" w:color="auto" w:sz="4" w:space="0"/>
            </w:tcBorders>
            <w:vAlign w:val="center"/>
          </w:tcPr>
          <w:p w14:paraId="52B3991E">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69D79756">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35A3B8AD">
            <w:pPr>
              <w:widowControl/>
              <w:shd w:val="clear"/>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住宿业</w:t>
            </w:r>
          </w:p>
        </w:tc>
        <w:tc>
          <w:tcPr>
            <w:tcW w:w="1770" w:type="dxa"/>
            <w:tcBorders>
              <w:top w:val="nil"/>
              <w:left w:val="nil"/>
              <w:bottom w:val="single" w:color="auto" w:sz="4" w:space="0"/>
              <w:right w:val="single" w:color="auto" w:sz="4" w:space="0"/>
            </w:tcBorders>
            <w:vAlign w:val="center"/>
          </w:tcPr>
          <w:p w14:paraId="41D1E796">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5" w:type="dxa"/>
            <w:tcBorders>
              <w:top w:val="nil"/>
              <w:left w:val="nil"/>
              <w:bottom w:val="single" w:color="auto" w:sz="4" w:space="0"/>
              <w:right w:val="single" w:color="auto" w:sz="4" w:space="0"/>
            </w:tcBorders>
            <w:vAlign w:val="center"/>
          </w:tcPr>
          <w:p w14:paraId="71F55EF9">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50" w:type="dxa"/>
            <w:tcBorders>
              <w:top w:val="nil"/>
              <w:left w:val="nil"/>
              <w:bottom w:val="single" w:color="auto" w:sz="4" w:space="0"/>
              <w:right w:val="single" w:color="auto" w:sz="4" w:space="0"/>
            </w:tcBorders>
            <w:vAlign w:val="center"/>
          </w:tcPr>
          <w:p w14:paraId="083232E1">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695" w:type="dxa"/>
            <w:tcBorders>
              <w:top w:val="nil"/>
              <w:left w:val="nil"/>
              <w:bottom w:val="single" w:color="auto" w:sz="4" w:space="0"/>
              <w:right w:val="single" w:color="auto" w:sz="4" w:space="0"/>
            </w:tcBorders>
            <w:vAlign w:val="center"/>
          </w:tcPr>
          <w:p w14:paraId="5148C9A8">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6" w:type="dxa"/>
            <w:tcBorders>
              <w:top w:val="nil"/>
              <w:left w:val="nil"/>
              <w:bottom w:val="single" w:color="auto" w:sz="4" w:space="0"/>
              <w:right w:val="single" w:color="auto" w:sz="4" w:space="0"/>
            </w:tcBorders>
            <w:vAlign w:val="center"/>
          </w:tcPr>
          <w:p w14:paraId="1D17CC78">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1CE1D653">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58FF2079">
            <w:pPr>
              <w:widowControl/>
              <w:shd w:val="clear"/>
              <w:jc w:val="center"/>
              <w:rPr>
                <w:rFonts w:hint="eastAsia" w:ascii="宋体" w:hAnsi="宋体" w:cs="宋体"/>
                <w:b/>
                <w:bCs/>
                <w:color w:val="auto"/>
                <w:kern w:val="0"/>
                <w:szCs w:val="21"/>
                <w:highlight w:val="none"/>
              </w:rPr>
            </w:pPr>
          </w:p>
        </w:tc>
        <w:tc>
          <w:tcPr>
            <w:tcW w:w="1770" w:type="dxa"/>
            <w:tcBorders>
              <w:top w:val="nil"/>
              <w:left w:val="nil"/>
              <w:bottom w:val="single" w:color="auto" w:sz="4" w:space="0"/>
              <w:right w:val="single" w:color="auto" w:sz="4" w:space="0"/>
            </w:tcBorders>
            <w:vAlign w:val="center"/>
          </w:tcPr>
          <w:p w14:paraId="58C0A022">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5" w:type="dxa"/>
            <w:tcBorders>
              <w:top w:val="nil"/>
              <w:left w:val="nil"/>
              <w:bottom w:val="single" w:color="auto" w:sz="4" w:space="0"/>
              <w:right w:val="single" w:color="auto" w:sz="4" w:space="0"/>
            </w:tcBorders>
            <w:vAlign w:val="center"/>
          </w:tcPr>
          <w:p w14:paraId="392F84DE">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50" w:type="dxa"/>
            <w:tcBorders>
              <w:top w:val="nil"/>
              <w:left w:val="nil"/>
              <w:bottom w:val="single" w:color="auto" w:sz="4" w:space="0"/>
              <w:right w:val="single" w:color="auto" w:sz="4" w:space="0"/>
            </w:tcBorders>
            <w:vAlign w:val="center"/>
          </w:tcPr>
          <w:p w14:paraId="1A638CE7">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695" w:type="dxa"/>
            <w:tcBorders>
              <w:top w:val="nil"/>
              <w:left w:val="nil"/>
              <w:bottom w:val="single" w:color="auto" w:sz="4" w:space="0"/>
              <w:right w:val="single" w:color="auto" w:sz="4" w:space="0"/>
            </w:tcBorders>
            <w:vAlign w:val="center"/>
          </w:tcPr>
          <w:p w14:paraId="3E8CA118">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136" w:type="dxa"/>
            <w:tcBorders>
              <w:top w:val="nil"/>
              <w:left w:val="nil"/>
              <w:bottom w:val="single" w:color="auto" w:sz="4" w:space="0"/>
              <w:right w:val="single" w:color="auto" w:sz="4" w:space="0"/>
            </w:tcBorders>
            <w:vAlign w:val="center"/>
          </w:tcPr>
          <w:p w14:paraId="419072B2">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096B43C3">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7E2F5E5E">
            <w:pPr>
              <w:widowControl/>
              <w:shd w:val="clear"/>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餐饮业</w:t>
            </w:r>
          </w:p>
        </w:tc>
        <w:tc>
          <w:tcPr>
            <w:tcW w:w="1770" w:type="dxa"/>
            <w:tcBorders>
              <w:top w:val="nil"/>
              <w:left w:val="nil"/>
              <w:bottom w:val="single" w:color="auto" w:sz="4" w:space="0"/>
              <w:right w:val="single" w:color="auto" w:sz="4" w:space="0"/>
            </w:tcBorders>
            <w:vAlign w:val="center"/>
          </w:tcPr>
          <w:p w14:paraId="1F3C0925">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5" w:type="dxa"/>
            <w:tcBorders>
              <w:top w:val="nil"/>
              <w:left w:val="nil"/>
              <w:bottom w:val="single" w:color="auto" w:sz="4" w:space="0"/>
              <w:right w:val="single" w:color="auto" w:sz="4" w:space="0"/>
            </w:tcBorders>
            <w:vAlign w:val="center"/>
          </w:tcPr>
          <w:p w14:paraId="4F49E934">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50" w:type="dxa"/>
            <w:tcBorders>
              <w:top w:val="nil"/>
              <w:left w:val="nil"/>
              <w:bottom w:val="single" w:color="auto" w:sz="4" w:space="0"/>
              <w:right w:val="single" w:color="auto" w:sz="4" w:space="0"/>
            </w:tcBorders>
            <w:vAlign w:val="center"/>
          </w:tcPr>
          <w:p w14:paraId="1060C064">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695" w:type="dxa"/>
            <w:tcBorders>
              <w:top w:val="nil"/>
              <w:left w:val="nil"/>
              <w:bottom w:val="single" w:color="auto" w:sz="4" w:space="0"/>
              <w:right w:val="single" w:color="auto" w:sz="4" w:space="0"/>
            </w:tcBorders>
            <w:vAlign w:val="center"/>
          </w:tcPr>
          <w:p w14:paraId="0051F7BD">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6" w:type="dxa"/>
            <w:tcBorders>
              <w:top w:val="nil"/>
              <w:left w:val="nil"/>
              <w:bottom w:val="single" w:color="auto" w:sz="4" w:space="0"/>
              <w:right w:val="single" w:color="auto" w:sz="4" w:space="0"/>
            </w:tcBorders>
            <w:vAlign w:val="center"/>
          </w:tcPr>
          <w:p w14:paraId="773633EE">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7A845D36">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6346B8F7">
            <w:pPr>
              <w:widowControl/>
              <w:shd w:val="clear"/>
              <w:jc w:val="center"/>
              <w:rPr>
                <w:rFonts w:hint="eastAsia" w:ascii="宋体" w:hAnsi="宋体" w:cs="宋体"/>
                <w:b/>
                <w:bCs/>
                <w:color w:val="auto"/>
                <w:kern w:val="0"/>
                <w:szCs w:val="21"/>
                <w:highlight w:val="none"/>
              </w:rPr>
            </w:pPr>
          </w:p>
        </w:tc>
        <w:tc>
          <w:tcPr>
            <w:tcW w:w="1770" w:type="dxa"/>
            <w:tcBorders>
              <w:top w:val="nil"/>
              <w:left w:val="nil"/>
              <w:bottom w:val="single" w:color="auto" w:sz="4" w:space="0"/>
              <w:right w:val="single" w:color="auto" w:sz="4" w:space="0"/>
            </w:tcBorders>
            <w:vAlign w:val="center"/>
          </w:tcPr>
          <w:p w14:paraId="1F4F89E9">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5" w:type="dxa"/>
            <w:tcBorders>
              <w:top w:val="nil"/>
              <w:left w:val="nil"/>
              <w:bottom w:val="single" w:color="auto" w:sz="4" w:space="0"/>
              <w:right w:val="single" w:color="auto" w:sz="4" w:space="0"/>
            </w:tcBorders>
            <w:vAlign w:val="center"/>
          </w:tcPr>
          <w:p w14:paraId="3A921759">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50" w:type="dxa"/>
            <w:tcBorders>
              <w:top w:val="nil"/>
              <w:left w:val="nil"/>
              <w:bottom w:val="single" w:color="auto" w:sz="4" w:space="0"/>
              <w:right w:val="single" w:color="auto" w:sz="4" w:space="0"/>
            </w:tcBorders>
            <w:vAlign w:val="center"/>
          </w:tcPr>
          <w:p w14:paraId="4C8ED78E">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695" w:type="dxa"/>
            <w:tcBorders>
              <w:top w:val="nil"/>
              <w:left w:val="nil"/>
              <w:bottom w:val="single" w:color="auto" w:sz="4" w:space="0"/>
              <w:right w:val="single" w:color="auto" w:sz="4" w:space="0"/>
            </w:tcBorders>
            <w:vAlign w:val="center"/>
          </w:tcPr>
          <w:p w14:paraId="1B8814D3">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136" w:type="dxa"/>
            <w:tcBorders>
              <w:top w:val="nil"/>
              <w:left w:val="nil"/>
              <w:bottom w:val="single" w:color="auto" w:sz="4" w:space="0"/>
              <w:right w:val="single" w:color="auto" w:sz="4" w:space="0"/>
            </w:tcBorders>
            <w:vAlign w:val="center"/>
          </w:tcPr>
          <w:p w14:paraId="02DF9E41">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250AD9BD">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33D6B020">
            <w:pPr>
              <w:widowControl/>
              <w:shd w:val="clear"/>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信息传输业</w:t>
            </w:r>
          </w:p>
        </w:tc>
        <w:tc>
          <w:tcPr>
            <w:tcW w:w="1770" w:type="dxa"/>
            <w:tcBorders>
              <w:top w:val="nil"/>
              <w:left w:val="nil"/>
              <w:bottom w:val="single" w:color="auto" w:sz="4" w:space="0"/>
              <w:right w:val="single" w:color="auto" w:sz="4" w:space="0"/>
            </w:tcBorders>
            <w:vAlign w:val="center"/>
          </w:tcPr>
          <w:p w14:paraId="7A912322">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5" w:type="dxa"/>
            <w:tcBorders>
              <w:top w:val="nil"/>
              <w:left w:val="nil"/>
              <w:bottom w:val="single" w:color="auto" w:sz="4" w:space="0"/>
              <w:right w:val="single" w:color="auto" w:sz="4" w:space="0"/>
            </w:tcBorders>
            <w:vAlign w:val="center"/>
          </w:tcPr>
          <w:p w14:paraId="48C48B70">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50" w:type="dxa"/>
            <w:tcBorders>
              <w:top w:val="nil"/>
              <w:left w:val="nil"/>
              <w:bottom w:val="single" w:color="auto" w:sz="4" w:space="0"/>
              <w:right w:val="single" w:color="auto" w:sz="4" w:space="0"/>
            </w:tcBorders>
            <w:vAlign w:val="center"/>
          </w:tcPr>
          <w:p w14:paraId="075AE857">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100≤X＜2000</w:t>
            </w:r>
          </w:p>
        </w:tc>
        <w:tc>
          <w:tcPr>
            <w:tcW w:w="1695" w:type="dxa"/>
            <w:tcBorders>
              <w:top w:val="nil"/>
              <w:left w:val="nil"/>
              <w:bottom w:val="single" w:color="auto" w:sz="4" w:space="0"/>
              <w:right w:val="single" w:color="auto" w:sz="4" w:space="0"/>
            </w:tcBorders>
            <w:vAlign w:val="center"/>
          </w:tcPr>
          <w:p w14:paraId="4BD5C4D8">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6" w:type="dxa"/>
            <w:tcBorders>
              <w:top w:val="nil"/>
              <w:left w:val="nil"/>
              <w:bottom w:val="single" w:color="auto" w:sz="4" w:space="0"/>
              <w:right w:val="single" w:color="auto" w:sz="4" w:space="0"/>
            </w:tcBorders>
            <w:vAlign w:val="center"/>
          </w:tcPr>
          <w:p w14:paraId="61C778DF">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73BA8E60">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1B120D9D">
            <w:pPr>
              <w:widowControl/>
              <w:shd w:val="clear"/>
              <w:jc w:val="center"/>
              <w:rPr>
                <w:rFonts w:hint="eastAsia" w:ascii="宋体" w:hAnsi="宋体" w:cs="宋体"/>
                <w:b/>
                <w:bCs/>
                <w:color w:val="auto"/>
                <w:kern w:val="0"/>
                <w:szCs w:val="21"/>
                <w:highlight w:val="none"/>
              </w:rPr>
            </w:pPr>
          </w:p>
        </w:tc>
        <w:tc>
          <w:tcPr>
            <w:tcW w:w="1770" w:type="dxa"/>
            <w:tcBorders>
              <w:top w:val="nil"/>
              <w:left w:val="nil"/>
              <w:bottom w:val="single" w:color="auto" w:sz="4" w:space="0"/>
              <w:right w:val="single" w:color="auto" w:sz="4" w:space="0"/>
            </w:tcBorders>
            <w:vAlign w:val="center"/>
          </w:tcPr>
          <w:p w14:paraId="6FD3E4D5">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5" w:type="dxa"/>
            <w:tcBorders>
              <w:top w:val="nil"/>
              <w:left w:val="nil"/>
              <w:bottom w:val="single" w:color="auto" w:sz="4" w:space="0"/>
              <w:right w:val="single" w:color="auto" w:sz="4" w:space="0"/>
            </w:tcBorders>
            <w:vAlign w:val="center"/>
          </w:tcPr>
          <w:p w14:paraId="695AA798">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50" w:type="dxa"/>
            <w:tcBorders>
              <w:top w:val="nil"/>
              <w:left w:val="nil"/>
              <w:bottom w:val="single" w:color="auto" w:sz="4" w:space="0"/>
              <w:right w:val="single" w:color="auto" w:sz="4" w:space="0"/>
            </w:tcBorders>
            <w:vAlign w:val="center"/>
          </w:tcPr>
          <w:p w14:paraId="7609C9FC">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1000≤Y＜100000</w:t>
            </w:r>
          </w:p>
        </w:tc>
        <w:tc>
          <w:tcPr>
            <w:tcW w:w="1695" w:type="dxa"/>
            <w:tcBorders>
              <w:top w:val="nil"/>
              <w:left w:val="nil"/>
              <w:bottom w:val="single" w:color="auto" w:sz="4" w:space="0"/>
              <w:right w:val="single" w:color="auto" w:sz="4" w:space="0"/>
            </w:tcBorders>
            <w:vAlign w:val="center"/>
          </w:tcPr>
          <w:p w14:paraId="6C1B578B">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136" w:type="dxa"/>
            <w:tcBorders>
              <w:top w:val="nil"/>
              <w:left w:val="nil"/>
              <w:bottom w:val="single" w:color="auto" w:sz="4" w:space="0"/>
              <w:right w:val="single" w:color="auto" w:sz="4" w:space="0"/>
            </w:tcBorders>
            <w:vAlign w:val="center"/>
          </w:tcPr>
          <w:p w14:paraId="3EC8D251">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531B53BA">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66001038">
            <w:pPr>
              <w:widowControl/>
              <w:shd w:val="clear"/>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软件和信息技术服务业</w:t>
            </w:r>
          </w:p>
        </w:tc>
        <w:tc>
          <w:tcPr>
            <w:tcW w:w="1770" w:type="dxa"/>
            <w:tcBorders>
              <w:top w:val="nil"/>
              <w:left w:val="nil"/>
              <w:bottom w:val="single" w:color="auto" w:sz="4" w:space="0"/>
              <w:right w:val="single" w:color="auto" w:sz="4" w:space="0"/>
            </w:tcBorders>
            <w:vAlign w:val="center"/>
          </w:tcPr>
          <w:p w14:paraId="2565C342">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5" w:type="dxa"/>
            <w:tcBorders>
              <w:top w:val="nil"/>
              <w:left w:val="nil"/>
              <w:bottom w:val="single" w:color="auto" w:sz="4" w:space="0"/>
              <w:right w:val="single" w:color="auto" w:sz="4" w:space="0"/>
            </w:tcBorders>
            <w:vAlign w:val="center"/>
          </w:tcPr>
          <w:p w14:paraId="73847F83">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50" w:type="dxa"/>
            <w:tcBorders>
              <w:top w:val="nil"/>
              <w:left w:val="nil"/>
              <w:bottom w:val="single" w:color="auto" w:sz="4" w:space="0"/>
              <w:right w:val="single" w:color="auto" w:sz="4" w:space="0"/>
            </w:tcBorders>
            <w:vAlign w:val="center"/>
          </w:tcPr>
          <w:p w14:paraId="5269DB27">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695" w:type="dxa"/>
            <w:tcBorders>
              <w:top w:val="nil"/>
              <w:left w:val="nil"/>
              <w:bottom w:val="single" w:color="auto" w:sz="4" w:space="0"/>
              <w:right w:val="single" w:color="auto" w:sz="4" w:space="0"/>
            </w:tcBorders>
            <w:vAlign w:val="center"/>
          </w:tcPr>
          <w:p w14:paraId="3AAAE580">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6" w:type="dxa"/>
            <w:tcBorders>
              <w:top w:val="nil"/>
              <w:left w:val="nil"/>
              <w:bottom w:val="single" w:color="auto" w:sz="4" w:space="0"/>
              <w:right w:val="single" w:color="auto" w:sz="4" w:space="0"/>
            </w:tcBorders>
            <w:vAlign w:val="center"/>
          </w:tcPr>
          <w:p w14:paraId="2007FBDC">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224CA25C">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1B534C74">
            <w:pPr>
              <w:widowControl/>
              <w:shd w:val="clear"/>
              <w:jc w:val="center"/>
              <w:rPr>
                <w:rFonts w:hint="eastAsia" w:ascii="宋体" w:hAnsi="宋体" w:cs="宋体"/>
                <w:b/>
                <w:bCs/>
                <w:color w:val="auto"/>
                <w:kern w:val="0"/>
                <w:szCs w:val="21"/>
                <w:highlight w:val="none"/>
              </w:rPr>
            </w:pPr>
          </w:p>
        </w:tc>
        <w:tc>
          <w:tcPr>
            <w:tcW w:w="1770" w:type="dxa"/>
            <w:tcBorders>
              <w:top w:val="nil"/>
              <w:left w:val="nil"/>
              <w:bottom w:val="single" w:color="auto" w:sz="4" w:space="0"/>
              <w:right w:val="single" w:color="auto" w:sz="4" w:space="0"/>
            </w:tcBorders>
            <w:vAlign w:val="center"/>
          </w:tcPr>
          <w:p w14:paraId="0A1A167E">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5" w:type="dxa"/>
            <w:tcBorders>
              <w:top w:val="nil"/>
              <w:left w:val="nil"/>
              <w:bottom w:val="single" w:color="auto" w:sz="4" w:space="0"/>
              <w:right w:val="single" w:color="auto" w:sz="4" w:space="0"/>
            </w:tcBorders>
            <w:vAlign w:val="center"/>
          </w:tcPr>
          <w:p w14:paraId="5B629F28">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50" w:type="dxa"/>
            <w:tcBorders>
              <w:top w:val="nil"/>
              <w:left w:val="nil"/>
              <w:bottom w:val="single" w:color="auto" w:sz="4" w:space="0"/>
              <w:right w:val="single" w:color="auto" w:sz="4" w:space="0"/>
            </w:tcBorders>
            <w:vAlign w:val="center"/>
          </w:tcPr>
          <w:p w14:paraId="41C2C257">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1000≤Y＜10000</w:t>
            </w:r>
          </w:p>
        </w:tc>
        <w:tc>
          <w:tcPr>
            <w:tcW w:w="1695" w:type="dxa"/>
            <w:tcBorders>
              <w:top w:val="nil"/>
              <w:left w:val="nil"/>
              <w:bottom w:val="single" w:color="auto" w:sz="4" w:space="0"/>
              <w:right w:val="single" w:color="auto" w:sz="4" w:space="0"/>
            </w:tcBorders>
            <w:vAlign w:val="center"/>
          </w:tcPr>
          <w:p w14:paraId="13E800E3">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50≤Y＜1000</w:t>
            </w:r>
          </w:p>
        </w:tc>
        <w:tc>
          <w:tcPr>
            <w:tcW w:w="1136" w:type="dxa"/>
            <w:tcBorders>
              <w:top w:val="nil"/>
              <w:left w:val="nil"/>
              <w:bottom w:val="single" w:color="auto" w:sz="4" w:space="0"/>
              <w:right w:val="single" w:color="auto" w:sz="4" w:space="0"/>
            </w:tcBorders>
            <w:vAlign w:val="center"/>
          </w:tcPr>
          <w:p w14:paraId="57E0CD10">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w:t>
            </w:r>
          </w:p>
        </w:tc>
      </w:tr>
      <w:tr w14:paraId="085944D7">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0ACA27D9">
            <w:pPr>
              <w:widowControl/>
              <w:shd w:val="clear"/>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房地产开发经营</w:t>
            </w:r>
          </w:p>
        </w:tc>
        <w:tc>
          <w:tcPr>
            <w:tcW w:w="1770" w:type="dxa"/>
            <w:tcBorders>
              <w:top w:val="nil"/>
              <w:left w:val="nil"/>
              <w:bottom w:val="single" w:color="auto" w:sz="4" w:space="0"/>
              <w:right w:val="single" w:color="auto" w:sz="4" w:space="0"/>
            </w:tcBorders>
            <w:vAlign w:val="center"/>
          </w:tcPr>
          <w:p w14:paraId="0356DB72">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5" w:type="dxa"/>
            <w:tcBorders>
              <w:top w:val="nil"/>
              <w:left w:val="nil"/>
              <w:bottom w:val="single" w:color="auto" w:sz="4" w:space="0"/>
              <w:right w:val="single" w:color="auto" w:sz="4" w:space="0"/>
            </w:tcBorders>
            <w:vAlign w:val="center"/>
          </w:tcPr>
          <w:p w14:paraId="1F2E4E5E">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50" w:type="dxa"/>
            <w:tcBorders>
              <w:top w:val="nil"/>
              <w:left w:val="nil"/>
              <w:bottom w:val="single" w:color="auto" w:sz="4" w:space="0"/>
              <w:right w:val="single" w:color="auto" w:sz="4" w:space="0"/>
            </w:tcBorders>
            <w:vAlign w:val="center"/>
          </w:tcPr>
          <w:p w14:paraId="1CE16257">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1000≤Y＜200000</w:t>
            </w:r>
          </w:p>
        </w:tc>
        <w:tc>
          <w:tcPr>
            <w:tcW w:w="1695" w:type="dxa"/>
            <w:tcBorders>
              <w:top w:val="nil"/>
              <w:left w:val="nil"/>
              <w:bottom w:val="single" w:color="auto" w:sz="4" w:space="0"/>
              <w:right w:val="single" w:color="auto" w:sz="4" w:space="0"/>
            </w:tcBorders>
            <w:vAlign w:val="center"/>
          </w:tcPr>
          <w:p w14:paraId="499DE1E5">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100≤X＜1000</w:t>
            </w:r>
          </w:p>
        </w:tc>
        <w:tc>
          <w:tcPr>
            <w:tcW w:w="1136" w:type="dxa"/>
            <w:tcBorders>
              <w:top w:val="nil"/>
              <w:left w:val="nil"/>
              <w:bottom w:val="single" w:color="auto" w:sz="4" w:space="0"/>
              <w:right w:val="single" w:color="auto" w:sz="4" w:space="0"/>
            </w:tcBorders>
            <w:vAlign w:val="center"/>
          </w:tcPr>
          <w:p w14:paraId="4F2121D3">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X＜100</w:t>
            </w:r>
          </w:p>
        </w:tc>
      </w:tr>
      <w:tr w14:paraId="7B127F61">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4815A255">
            <w:pPr>
              <w:widowControl/>
              <w:shd w:val="clear"/>
              <w:jc w:val="center"/>
              <w:rPr>
                <w:rFonts w:hint="eastAsia" w:ascii="宋体" w:hAnsi="宋体" w:cs="宋体"/>
                <w:b/>
                <w:bCs/>
                <w:color w:val="auto"/>
                <w:kern w:val="0"/>
                <w:szCs w:val="21"/>
                <w:highlight w:val="none"/>
              </w:rPr>
            </w:pPr>
          </w:p>
        </w:tc>
        <w:tc>
          <w:tcPr>
            <w:tcW w:w="1770" w:type="dxa"/>
            <w:tcBorders>
              <w:top w:val="nil"/>
              <w:left w:val="nil"/>
              <w:bottom w:val="single" w:color="auto" w:sz="4" w:space="0"/>
              <w:right w:val="single" w:color="auto" w:sz="4" w:space="0"/>
            </w:tcBorders>
            <w:vAlign w:val="center"/>
          </w:tcPr>
          <w:p w14:paraId="57B01764">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95" w:type="dxa"/>
            <w:tcBorders>
              <w:top w:val="nil"/>
              <w:left w:val="nil"/>
              <w:bottom w:val="single" w:color="auto" w:sz="4" w:space="0"/>
              <w:right w:val="single" w:color="auto" w:sz="4" w:space="0"/>
            </w:tcBorders>
            <w:vAlign w:val="center"/>
          </w:tcPr>
          <w:p w14:paraId="7EDD0027">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50" w:type="dxa"/>
            <w:tcBorders>
              <w:top w:val="nil"/>
              <w:left w:val="nil"/>
              <w:bottom w:val="single" w:color="auto" w:sz="4" w:space="0"/>
              <w:right w:val="single" w:color="auto" w:sz="4" w:space="0"/>
            </w:tcBorders>
            <w:vAlign w:val="center"/>
          </w:tcPr>
          <w:p w14:paraId="02A8B7BF">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5000≤Z＜10000</w:t>
            </w:r>
          </w:p>
        </w:tc>
        <w:tc>
          <w:tcPr>
            <w:tcW w:w="1695" w:type="dxa"/>
            <w:tcBorders>
              <w:top w:val="nil"/>
              <w:left w:val="nil"/>
              <w:bottom w:val="single" w:color="auto" w:sz="4" w:space="0"/>
              <w:right w:val="single" w:color="auto" w:sz="4" w:space="0"/>
            </w:tcBorders>
            <w:vAlign w:val="center"/>
          </w:tcPr>
          <w:p w14:paraId="50EF1CBE">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2000≤Y＜5000</w:t>
            </w:r>
          </w:p>
        </w:tc>
        <w:tc>
          <w:tcPr>
            <w:tcW w:w="1136" w:type="dxa"/>
            <w:tcBorders>
              <w:top w:val="nil"/>
              <w:left w:val="nil"/>
              <w:bottom w:val="single" w:color="auto" w:sz="4" w:space="0"/>
              <w:right w:val="single" w:color="auto" w:sz="4" w:space="0"/>
            </w:tcBorders>
            <w:vAlign w:val="center"/>
          </w:tcPr>
          <w:p w14:paraId="69665844">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Y＜2000</w:t>
            </w:r>
          </w:p>
        </w:tc>
      </w:tr>
      <w:tr w14:paraId="51F17681">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4521470B">
            <w:pPr>
              <w:widowControl/>
              <w:shd w:val="clear"/>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物业管理</w:t>
            </w:r>
          </w:p>
        </w:tc>
        <w:tc>
          <w:tcPr>
            <w:tcW w:w="1770" w:type="dxa"/>
            <w:tcBorders>
              <w:top w:val="nil"/>
              <w:left w:val="nil"/>
              <w:bottom w:val="single" w:color="auto" w:sz="4" w:space="0"/>
              <w:right w:val="single" w:color="auto" w:sz="4" w:space="0"/>
            </w:tcBorders>
            <w:vAlign w:val="center"/>
          </w:tcPr>
          <w:p w14:paraId="0E365A2E">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5" w:type="dxa"/>
            <w:tcBorders>
              <w:top w:val="nil"/>
              <w:left w:val="nil"/>
              <w:bottom w:val="single" w:color="auto" w:sz="4" w:space="0"/>
              <w:right w:val="single" w:color="auto" w:sz="4" w:space="0"/>
            </w:tcBorders>
            <w:vAlign w:val="center"/>
          </w:tcPr>
          <w:p w14:paraId="5BAF0AF0">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50" w:type="dxa"/>
            <w:tcBorders>
              <w:top w:val="nil"/>
              <w:left w:val="nil"/>
              <w:bottom w:val="single" w:color="auto" w:sz="4" w:space="0"/>
              <w:right w:val="single" w:color="auto" w:sz="4" w:space="0"/>
            </w:tcBorders>
            <w:vAlign w:val="center"/>
          </w:tcPr>
          <w:p w14:paraId="7E1E90EB">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695" w:type="dxa"/>
            <w:tcBorders>
              <w:top w:val="nil"/>
              <w:left w:val="nil"/>
              <w:bottom w:val="single" w:color="auto" w:sz="4" w:space="0"/>
              <w:right w:val="single" w:color="auto" w:sz="4" w:space="0"/>
            </w:tcBorders>
            <w:vAlign w:val="center"/>
          </w:tcPr>
          <w:p w14:paraId="36AD5434">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136" w:type="dxa"/>
            <w:tcBorders>
              <w:top w:val="nil"/>
              <w:left w:val="nil"/>
              <w:bottom w:val="single" w:color="auto" w:sz="4" w:space="0"/>
              <w:right w:val="single" w:color="auto" w:sz="4" w:space="0"/>
            </w:tcBorders>
            <w:vAlign w:val="center"/>
          </w:tcPr>
          <w:p w14:paraId="566E3F89">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X＜100</w:t>
            </w:r>
          </w:p>
        </w:tc>
      </w:tr>
      <w:tr w14:paraId="52F0F413">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35DD7FFE">
            <w:pPr>
              <w:widowControl/>
              <w:shd w:val="clear"/>
              <w:jc w:val="center"/>
              <w:rPr>
                <w:rFonts w:hint="eastAsia" w:ascii="宋体" w:hAnsi="宋体" w:cs="宋体"/>
                <w:b/>
                <w:bCs/>
                <w:color w:val="auto"/>
                <w:kern w:val="0"/>
                <w:szCs w:val="21"/>
                <w:highlight w:val="none"/>
              </w:rPr>
            </w:pPr>
          </w:p>
        </w:tc>
        <w:tc>
          <w:tcPr>
            <w:tcW w:w="1770" w:type="dxa"/>
            <w:tcBorders>
              <w:top w:val="nil"/>
              <w:left w:val="nil"/>
              <w:bottom w:val="single" w:color="auto" w:sz="4" w:space="0"/>
              <w:right w:val="single" w:color="auto" w:sz="4" w:space="0"/>
            </w:tcBorders>
            <w:vAlign w:val="center"/>
          </w:tcPr>
          <w:p w14:paraId="7470B7DD">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5" w:type="dxa"/>
            <w:tcBorders>
              <w:top w:val="nil"/>
              <w:left w:val="nil"/>
              <w:bottom w:val="single" w:color="auto" w:sz="4" w:space="0"/>
              <w:right w:val="single" w:color="auto" w:sz="4" w:space="0"/>
            </w:tcBorders>
            <w:vAlign w:val="center"/>
          </w:tcPr>
          <w:p w14:paraId="3D7B425A">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50" w:type="dxa"/>
            <w:tcBorders>
              <w:top w:val="nil"/>
              <w:left w:val="nil"/>
              <w:bottom w:val="single" w:color="auto" w:sz="4" w:space="0"/>
              <w:right w:val="single" w:color="auto" w:sz="4" w:space="0"/>
            </w:tcBorders>
            <w:vAlign w:val="center"/>
          </w:tcPr>
          <w:p w14:paraId="5F37BEBF">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695" w:type="dxa"/>
            <w:tcBorders>
              <w:top w:val="nil"/>
              <w:left w:val="nil"/>
              <w:bottom w:val="single" w:color="auto" w:sz="4" w:space="0"/>
              <w:right w:val="single" w:color="auto" w:sz="4" w:space="0"/>
            </w:tcBorders>
            <w:vAlign w:val="center"/>
          </w:tcPr>
          <w:p w14:paraId="236277BA">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500≤Y＜1000</w:t>
            </w:r>
          </w:p>
        </w:tc>
        <w:tc>
          <w:tcPr>
            <w:tcW w:w="1136" w:type="dxa"/>
            <w:tcBorders>
              <w:top w:val="nil"/>
              <w:left w:val="nil"/>
              <w:bottom w:val="single" w:color="auto" w:sz="4" w:space="0"/>
              <w:right w:val="single" w:color="auto" w:sz="4" w:space="0"/>
            </w:tcBorders>
            <w:vAlign w:val="center"/>
          </w:tcPr>
          <w:p w14:paraId="35A95846">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Y＜500</w:t>
            </w:r>
          </w:p>
        </w:tc>
      </w:tr>
      <w:tr w14:paraId="777ABF76">
        <w:tblPrEx>
          <w:tblCellMar>
            <w:top w:w="0" w:type="dxa"/>
            <w:left w:w="108" w:type="dxa"/>
            <w:bottom w:w="0" w:type="dxa"/>
            <w:right w:w="108" w:type="dxa"/>
          </w:tblCellMar>
        </w:tblPrEx>
        <w:trPr>
          <w:trHeight w:val="225" w:hRule="atLeast"/>
          <w:jc w:val="center"/>
        </w:trPr>
        <w:tc>
          <w:tcPr>
            <w:tcW w:w="2010" w:type="dxa"/>
            <w:vMerge w:val="restart"/>
            <w:tcBorders>
              <w:top w:val="nil"/>
              <w:left w:val="single" w:color="auto" w:sz="4" w:space="0"/>
              <w:bottom w:val="single" w:color="auto" w:sz="4" w:space="0"/>
              <w:right w:val="single" w:color="auto" w:sz="4" w:space="0"/>
            </w:tcBorders>
            <w:vAlign w:val="center"/>
          </w:tcPr>
          <w:p w14:paraId="45B22006">
            <w:pPr>
              <w:widowControl/>
              <w:shd w:val="clear"/>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租赁和商务服务业</w:t>
            </w:r>
          </w:p>
        </w:tc>
        <w:tc>
          <w:tcPr>
            <w:tcW w:w="1770" w:type="dxa"/>
            <w:tcBorders>
              <w:top w:val="nil"/>
              <w:left w:val="nil"/>
              <w:bottom w:val="single" w:color="auto" w:sz="4" w:space="0"/>
              <w:right w:val="single" w:color="auto" w:sz="4" w:space="0"/>
            </w:tcBorders>
            <w:vAlign w:val="center"/>
          </w:tcPr>
          <w:p w14:paraId="03734788">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5" w:type="dxa"/>
            <w:tcBorders>
              <w:top w:val="nil"/>
              <w:left w:val="nil"/>
              <w:bottom w:val="single" w:color="auto" w:sz="4" w:space="0"/>
              <w:right w:val="single" w:color="auto" w:sz="4" w:space="0"/>
            </w:tcBorders>
            <w:vAlign w:val="center"/>
          </w:tcPr>
          <w:p w14:paraId="2E8AEBC0">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50" w:type="dxa"/>
            <w:tcBorders>
              <w:top w:val="nil"/>
              <w:left w:val="nil"/>
              <w:bottom w:val="single" w:color="auto" w:sz="4" w:space="0"/>
              <w:right w:val="single" w:color="auto" w:sz="4" w:space="0"/>
            </w:tcBorders>
            <w:vAlign w:val="center"/>
          </w:tcPr>
          <w:p w14:paraId="043414D4">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695" w:type="dxa"/>
            <w:tcBorders>
              <w:top w:val="nil"/>
              <w:left w:val="nil"/>
              <w:bottom w:val="single" w:color="auto" w:sz="4" w:space="0"/>
              <w:right w:val="single" w:color="auto" w:sz="4" w:space="0"/>
            </w:tcBorders>
            <w:vAlign w:val="center"/>
          </w:tcPr>
          <w:p w14:paraId="0E44B1C3">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6" w:type="dxa"/>
            <w:tcBorders>
              <w:top w:val="nil"/>
              <w:left w:val="nil"/>
              <w:bottom w:val="single" w:color="auto" w:sz="4" w:space="0"/>
              <w:right w:val="single" w:color="auto" w:sz="4" w:space="0"/>
            </w:tcBorders>
            <w:vAlign w:val="center"/>
          </w:tcPr>
          <w:p w14:paraId="7887D36F">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1DB31013">
        <w:tblPrEx>
          <w:tblCellMar>
            <w:top w:w="0" w:type="dxa"/>
            <w:left w:w="108" w:type="dxa"/>
            <w:bottom w:w="0" w:type="dxa"/>
            <w:right w:w="108" w:type="dxa"/>
          </w:tblCellMar>
        </w:tblPrEx>
        <w:trPr>
          <w:trHeight w:val="225" w:hRule="atLeast"/>
          <w:jc w:val="center"/>
        </w:trPr>
        <w:tc>
          <w:tcPr>
            <w:tcW w:w="2010" w:type="dxa"/>
            <w:vMerge w:val="continue"/>
            <w:tcBorders>
              <w:top w:val="nil"/>
              <w:left w:val="single" w:color="auto" w:sz="4" w:space="0"/>
              <w:bottom w:val="single" w:color="auto" w:sz="4" w:space="0"/>
              <w:right w:val="single" w:color="auto" w:sz="4" w:space="0"/>
            </w:tcBorders>
            <w:vAlign w:val="center"/>
          </w:tcPr>
          <w:p w14:paraId="3C187FB2">
            <w:pPr>
              <w:widowControl/>
              <w:shd w:val="clear"/>
              <w:jc w:val="center"/>
              <w:rPr>
                <w:rFonts w:hint="eastAsia" w:ascii="宋体" w:hAnsi="宋体" w:cs="宋体"/>
                <w:b/>
                <w:bCs/>
                <w:color w:val="auto"/>
                <w:kern w:val="0"/>
                <w:szCs w:val="21"/>
                <w:highlight w:val="none"/>
              </w:rPr>
            </w:pPr>
          </w:p>
        </w:tc>
        <w:tc>
          <w:tcPr>
            <w:tcW w:w="1770" w:type="dxa"/>
            <w:tcBorders>
              <w:top w:val="nil"/>
              <w:left w:val="nil"/>
              <w:bottom w:val="single" w:color="auto" w:sz="4" w:space="0"/>
              <w:right w:val="single" w:color="auto" w:sz="4" w:space="0"/>
            </w:tcBorders>
            <w:vAlign w:val="center"/>
          </w:tcPr>
          <w:p w14:paraId="3D1B2E68">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95" w:type="dxa"/>
            <w:tcBorders>
              <w:top w:val="nil"/>
              <w:left w:val="nil"/>
              <w:bottom w:val="single" w:color="auto" w:sz="4" w:space="0"/>
              <w:right w:val="single" w:color="auto" w:sz="4" w:space="0"/>
            </w:tcBorders>
            <w:vAlign w:val="center"/>
          </w:tcPr>
          <w:p w14:paraId="51B957FA">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50" w:type="dxa"/>
            <w:tcBorders>
              <w:top w:val="nil"/>
              <w:left w:val="nil"/>
              <w:bottom w:val="single" w:color="auto" w:sz="4" w:space="0"/>
              <w:right w:val="single" w:color="auto" w:sz="4" w:space="0"/>
            </w:tcBorders>
            <w:vAlign w:val="center"/>
          </w:tcPr>
          <w:p w14:paraId="2299FC02">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8000≤Z＜120000</w:t>
            </w:r>
          </w:p>
        </w:tc>
        <w:tc>
          <w:tcPr>
            <w:tcW w:w="1695" w:type="dxa"/>
            <w:tcBorders>
              <w:top w:val="nil"/>
              <w:left w:val="nil"/>
              <w:bottom w:val="single" w:color="auto" w:sz="4" w:space="0"/>
              <w:right w:val="single" w:color="auto" w:sz="4" w:space="0"/>
            </w:tcBorders>
            <w:vAlign w:val="center"/>
          </w:tcPr>
          <w:p w14:paraId="18CCDE8C">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100≤Z＜8000</w:t>
            </w:r>
          </w:p>
        </w:tc>
        <w:tc>
          <w:tcPr>
            <w:tcW w:w="1136" w:type="dxa"/>
            <w:tcBorders>
              <w:top w:val="nil"/>
              <w:left w:val="nil"/>
              <w:bottom w:val="single" w:color="auto" w:sz="4" w:space="0"/>
              <w:right w:val="single" w:color="auto" w:sz="4" w:space="0"/>
            </w:tcBorders>
            <w:vAlign w:val="center"/>
          </w:tcPr>
          <w:p w14:paraId="755249EE">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6ED53191">
        <w:tblPrEx>
          <w:tblCellMar>
            <w:top w:w="0" w:type="dxa"/>
            <w:left w:w="108" w:type="dxa"/>
            <w:bottom w:w="0" w:type="dxa"/>
            <w:right w:w="108" w:type="dxa"/>
          </w:tblCellMar>
        </w:tblPrEx>
        <w:trPr>
          <w:trHeight w:val="225" w:hRule="atLeast"/>
          <w:jc w:val="center"/>
        </w:trPr>
        <w:tc>
          <w:tcPr>
            <w:tcW w:w="2010" w:type="dxa"/>
            <w:tcBorders>
              <w:top w:val="nil"/>
              <w:left w:val="single" w:color="auto" w:sz="4" w:space="0"/>
              <w:bottom w:val="single" w:color="auto" w:sz="4" w:space="0"/>
              <w:right w:val="single" w:color="auto" w:sz="4" w:space="0"/>
            </w:tcBorders>
            <w:vAlign w:val="center"/>
          </w:tcPr>
          <w:p w14:paraId="7B5FD645">
            <w:pPr>
              <w:widowControl/>
              <w:shd w:val="clear"/>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其他未列明行业</w:t>
            </w:r>
          </w:p>
        </w:tc>
        <w:tc>
          <w:tcPr>
            <w:tcW w:w="1770" w:type="dxa"/>
            <w:tcBorders>
              <w:top w:val="nil"/>
              <w:left w:val="nil"/>
              <w:bottom w:val="single" w:color="auto" w:sz="4" w:space="0"/>
              <w:right w:val="single" w:color="auto" w:sz="4" w:space="0"/>
            </w:tcBorders>
            <w:vAlign w:val="center"/>
          </w:tcPr>
          <w:p w14:paraId="36C2D039">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5" w:type="dxa"/>
            <w:tcBorders>
              <w:top w:val="nil"/>
              <w:left w:val="nil"/>
              <w:bottom w:val="single" w:color="auto" w:sz="4" w:space="0"/>
              <w:right w:val="single" w:color="auto" w:sz="4" w:space="0"/>
            </w:tcBorders>
            <w:vAlign w:val="center"/>
          </w:tcPr>
          <w:p w14:paraId="2635DBD8">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50" w:type="dxa"/>
            <w:tcBorders>
              <w:top w:val="nil"/>
              <w:left w:val="nil"/>
              <w:bottom w:val="single" w:color="auto" w:sz="4" w:space="0"/>
              <w:right w:val="single" w:color="auto" w:sz="4" w:space="0"/>
            </w:tcBorders>
            <w:vAlign w:val="center"/>
          </w:tcPr>
          <w:p w14:paraId="3EFBA553">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695" w:type="dxa"/>
            <w:tcBorders>
              <w:top w:val="nil"/>
              <w:left w:val="nil"/>
              <w:bottom w:val="single" w:color="auto" w:sz="4" w:space="0"/>
              <w:right w:val="single" w:color="auto" w:sz="4" w:space="0"/>
            </w:tcBorders>
            <w:vAlign w:val="center"/>
          </w:tcPr>
          <w:p w14:paraId="150AE6F0">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6" w:type="dxa"/>
            <w:tcBorders>
              <w:top w:val="nil"/>
              <w:left w:val="nil"/>
              <w:bottom w:val="single" w:color="auto" w:sz="4" w:space="0"/>
              <w:right w:val="single" w:color="auto" w:sz="4" w:space="0"/>
            </w:tcBorders>
            <w:vAlign w:val="center"/>
          </w:tcPr>
          <w:p w14:paraId="66A96156">
            <w:pPr>
              <w:widowControl/>
              <w:shd w:val="clear"/>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bl>
    <w:p w14:paraId="2D3573A5">
      <w:pPr>
        <w:widowControl/>
        <w:shd w:val="clear"/>
        <w:jc w:val="left"/>
        <w:rPr>
          <w:rFonts w:hint="eastAsia" w:ascii="宋体" w:hAnsi="宋体" w:cs="宋体"/>
          <w:color w:val="auto"/>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3CB54D03">
      <w:pPr>
        <w:shd w:val="clear"/>
        <w:rPr>
          <w:color w:val="auto"/>
          <w:highlight w:val="none"/>
        </w:rPr>
      </w:pPr>
      <w:r>
        <w:rPr>
          <w:rFonts w:hint="eastAsia"/>
          <w:color w:val="auto"/>
          <w:highlight w:val="none"/>
        </w:rPr>
        <w:br w:type="page"/>
      </w:r>
    </w:p>
    <w:p w14:paraId="7652F0DE">
      <w:pPr>
        <w:pStyle w:val="3"/>
        <w:shd w:val="clear"/>
        <w:jc w:val="center"/>
        <w:rPr>
          <w:color w:val="auto"/>
          <w:highlight w:val="none"/>
        </w:rPr>
      </w:pPr>
      <w:bookmarkStart w:id="153" w:name="_Toc6654"/>
      <w:r>
        <w:rPr>
          <w:rFonts w:hint="eastAsia"/>
          <w:color w:val="auto"/>
          <w:highlight w:val="none"/>
        </w:rPr>
        <w:t>第四章  评标方法及评标标准</w:t>
      </w:r>
      <w:bookmarkEnd w:id="149"/>
      <w:bookmarkEnd w:id="150"/>
      <w:bookmarkEnd w:id="151"/>
      <w:bookmarkEnd w:id="152"/>
      <w:bookmarkEnd w:id="153"/>
    </w:p>
    <w:p w14:paraId="02551626">
      <w:pPr>
        <w:pStyle w:val="5"/>
        <w:keepNext w:val="0"/>
        <w:keepLines w:val="0"/>
        <w:shd w:val="clear"/>
        <w:jc w:val="center"/>
        <w:rPr>
          <w:color w:val="auto"/>
          <w:sz w:val="30"/>
          <w:szCs w:val="30"/>
          <w:highlight w:val="none"/>
        </w:rPr>
      </w:pPr>
      <w:r>
        <w:rPr>
          <w:rFonts w:hint="eastAsia"/>
          <w:color w:val="auto"/>
          <w:sz w:val="30"/>
          <w:szCs w:val="30"/>
          <w:highlight w:val="none"/>
        </w:rPr>
        <w:t>一、评标方法</w:t>
      </w:r>
    </w:p>
    <w:p w14:paraId="6623493F">
      <w:pPr>
        <w:pStyle w:val="26"/>
        <w:shd w:val="clear"/>
        <w:spacing w:line="360" w:lineRule="auto"/>
        <w:ind w:firstLine="420"/>
        <w:rPr>
          <w:rFonts w:hint="eastAsia" w:hAnsi="宋体"/>
          <w:color w:val="auto"/>
          <w:sz w:val="21"/>
          <w:highlight w:val="none"/>
        </w:rPr>
      </w:pPr>
      <w:r>
        <w:rPr>
          <w:rFonts w:hint="eastAsia" w:hAnsi="宋体"/>
          <w:color w:val="auto"/>
          <w:sz w:val="21"/>
          <w:highlight w:val="none"/>
        </w:rPr>
        <w:t>综合评分法，是指投标文件满足招标文件全部实质性要求，且按照评审因素的量化指标评审得分最高的投标人为中标候选人的评标方法。</w:t>
      </w:r>
    </w:p>
    <w:p w14:paraId="0D7BCE39">
      <w:pPr>
        <w:pStyle w:val="5"/>
        <w:keepNext w:val="0"/>
        <w:keepLines w:val="0"/>
        <w:shd w:val="clear"/>
        <w:jc w:val="center"/>
        <w:rPr>
          <w:color w:val="auto"/>
          <w:sz w:val="30"/>
          <w:szCs w:val="30"/>
          <w:highlight w:val="none"/>
        </w:rPr>
      </w:pPr>
      <w:r>
        <w:rPr>
          <w:rFonts w:hint="eastAsia"/>
          <w:color w:val="auto"/>
          <w:sz w:val="30"/>
          <w:szCs w:val="30"/>
          <w:highlight w:val="none"/>
        </w:rPr>
        <w:t>二、评标程序</w:t>
      </w:r>
    </w:p>
    <w:p w14:paraId="780D42B7">
      <w:pPr>
        <w:pStyle w:val="7"/>
        <w:keepNext w:val="0"/>
        <w:keepLines w:val="0"/>
        <w:shd w:val="clear"/>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1.符合性审查</w:t>
      </w:r>
    </w:p>
    <w:p w14:paraId="4DBDE1E6">
      <w:pPr>
        <w:pStyle w:val="26"/>
        <w:shd w:val="clear"/>
        <w:snapToGrid w:val="0"/>
        <w:spacing w:line="360" w:lineRule="auto"/>
        <w:ind w:left="1" w:firstLine="420"/>
        <w:rPr>
          <w:rFonts w:hint="eastAsia" w:hAnsi="宋体"/>
          <w:b/>
          <w:color w:val="auto"/>
          <w:kern w:val="2"/>
          <w:sz w:val="21"/>
          <w:highlight w:val="none"/>
        </w:rPr>
      </w:pPr>
      <w:r>
        <w:rPr>
          <w:rFonts w:hint="eastAsia" w:hAnsi="宋体"/>
          <w:b/>
          <w:color w:val="auto"/>
          <w:kern w:val="2"/>
          <w:sz w:val="21"/>
          <w:highlight w:val="none"/>
        </w:rPr>
        <w:t>评标委员会应当对符合资格的投标人的投标文件进行投标报价、商务、技术等实质性内容符合性审查，以确定其是否满足招标文件的实质性要求。</w:t>
      </w:r>
    </w:p>
    <w:p w14:paraId="3885359E">
      <w:pPr>
        <w:pStyle w:val="7"/>
        <w:keepNext w:val="0"/>
        <w:keepLines w:val="0"/>
        <w:shd w:val="clear"/>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w:t>
      </w:r>
      <w:r>
        <w:rPr>
          <w:rFonts w:ascii="宋体" w:hAnsi="宋体"/>
          <w:color w:val="auto"/>
          <w:sz w:val="21"/>
          <w:szCs w:val="21"/>
          <w:highlight w:val="none"/>
        </w:rPr>
        <w:t>.</w:t>
      </w:r>
      <w:r>
        <w:rPr>
          <w:rFonts w:hint="eastAsia" w:ascii="宋体" w:hAnsi="宋体"/>
          <w:color w:val="auto"/>
          <w:sz w:val="21"/>
          <w:szCs w:val="21"/>
          <w:highlight w:val="none"/>
        </w:rPr>
        <w:t>符合性审查不通过而导致投标无效的情形</w:t>
      </w:r>
    </w:p>
    <w:p w14:paraId="6114C8A0">
      <w:pPr>
        <w:shd w:val="clea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投标人的投标文件中存在对招标文件的任何实质性要求和条件的负偏离，将被视为投标无效。</w:t>
      </w:r>
    </w:p>
    <w:p w14:paraId="7E1146F0">
      <w:pPr>
        <w:pStyle w:val="7"/>
        <w:keepNext w:val="0"/>
        <w:keepLines w:val="0"/>
        <w:shd w:val="clear"/>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2.1在报价评审时，如发现下列情形之一的，将被视为投标无效：</w:t>
      </w:r>
    </w:p>
    <w:p w14:paraId="62E5EA37">
      <w:pPr>
        <w:pStyle w:val="8"/>
        <w:numPr>
          <w:ilvl w:val="0"/>
          <w:numId w:val="6"/>
        </w:numPr>
        <w:shd w:val="clea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投标文件未提供“投标人须知前附表”第13.1条规定中“必须提供”的文件资料的;</w:t>
      </w:r>
    </w:p>
    <w:p w14:paraId="76E5467F">
      <w:pPr>
        <w:pStyle w:val="8"/>
        <w:numPr>
          <w:ilvl w:val="0"/>
          <w:numId w:val="6"/>
        </w:numPr>
        <w:shd w:val="clea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未采用人民币报价或者未按照招标文件标明的币种报价或未按招标文件要求的方式报价的；</w:t>
      </w:r>
    </w:p>
    <w:p w14:paraId="1642F41B">
      <w:pPr>
        <w:pStyle w:val="8"/>
        <w:numPr>
          <w:ilvl w:val="0"/>
          <w:numId w:val="6"/>
        </w:numPr>
        <w:shd w:val="clea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各分标报价超出招标文件相应分标规定最高限价，或者超出相应分标采购预算金额的，或者超出招标文件规定的下浮系数范围的；各分项（单价）报价超出招标文件相应分项规定（上控单价）最高限价（如有），或者超出相应分项采购预算金额（如有）的；</w:t>
      </w:r>
    </w:p>
    <w:p w14:paraId="0B37B821">
      <w:pPr>
        <w:pStyle w:val="8"/>
        <w:numPr>
          <w:ilvl w:val="0"/>
          <w:numId w:val="6"/>
        </w:numPr>
        <w:shd w:val="clea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25350182">
      <w:pPr>
        <w:pStyle w:val="8"/>
        <w:numPr>
          <w:ilvl w:val="0"/>
          <w:numId w:val="6"/>
        </w:numPr>
        <w:shd w:val="clea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修正后的报价，投标人不确认的；</w:t>
      </w:r>
    </w:p>
    <w:p w14:paraId="56374177">
      <w:pPr>
        <w:pStyle w:val="8"/>
        <w:numPr>
          <w:ilvl w:val="0"/>
          <w:numId w:val="6"/>
        </w:numPr>
        <w:shd w:val="clea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投标人属于本章第</w:t>
      </w:r>
      <w:r>
        <w:rPr>
          <w:rFonts w:ascii="宋体" w:hAnsi="宋体"/>
          <w:b/>
          <w:color w:val="auto"/>
          <w:szCs w:val="21"/>
          <w:highlight w:val="none"/>
        </w:rPr>
        <w:t>5</w:t>
      </w:r>
      <w:r>
        <w:rPr>
          <w:rFonts w:hint="eastAsia" w:ascii="宋体" w:hAnsi="宋体"/>
          <w:b/>
          <w:color w:val="auto"/>
          <w:szCs w:val="21"/>
          <w:highlight w:val="none"/>
        </w:rPr>
        <w:t>条第（2）项情形的；</w:t>
      </w:r>
    </w:p>
    <w:p w14:paraId="7B81F558">
      <w:pPr>
        <w:pStyle w:val="8"/>
        <w:numPr>
          <w:ilvl w:val="0"/>
          <w:numId w:val="6"/>
        </w:numPr>
        <w:shd w:val="clea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投标文件响应的标的数量及单位与招标文件要求实质性不一致的。</w:t>
      </w:r>
    </w:p>
    <w:p w14:paraId="590ABC09">
      <w:pPr>
        <w:pStyle w:val="8"/>
        <w:numPr>
          <w:ilvl w:val="0"/>
          <w:numId w:val="6"/>
        </w:numPr>
        <w:shd w:val="clea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属于第三章“投标人须知”第16.4条投标无效的情形的。</w:t>
      </w:r>
    </w:p>
    <w:p w14:paraId="47798B3A">
      <w:pPr>
        <w:pStyle w:val="7"/>
        <w:keepNext w:val="0"/>
        <w:keepLines w:val="0"/>
        <w:shd w:val="clear"/>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2.2在商务评审时，如发现下列情形之一的，将被视为投标无效：</w:t>
      </w:r>
    </w:p>
    <w:p w14:paraId="2D7A9F22">
      <w:pPr>
        <w:numPr>
          <w:ilvl w:val="0"/>
          <w:numId w:val="7"/>
        </w:numPr>
        <w:shd w:val="clea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投标文件未按招标文件要求签署、盖章的；</w:t>
      </w:r>
    </w:p>
    <w:p w14:paraId="20397921">
      <w:pPr>
        <w:numPr>
          <w:ilvl w:val="0"/>
          <w:numId w:val="7"/>
        </w:numPr>
        <w:shd w:val="clea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 xml:space="preserve">委托代理人未能出具有效身份证明或者出具的身份证明与授权委托书中的信息不符的； </w:t>
      </w:r>
    </w:p>
    <w:p w14:paraId="58FFECE5">
      <w:pPr>
        <w:numPr>
          <w:ilvl w:val="0"/>
          <w:numId w:val="7"/>
        </w:numPr>
        <w:shd w:val="clea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为无效投标保证金的或者未按照招标文件的规定提交投标保证金的；</w:t>
      </w:r>
    </w:p>
    <w:p w14:paraId="400AA61C">
      <w:pPr>
        <w:numPr>
          <w:ilvl w:val="0"/>
          <w:numId w:val="7"/>
        </w:numPr>
        <w:shd w:val="clea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投标文件未提供“投标人须知前附表”第13.</w:t>
      </w:r>
      <w:r>
        <w:rPr>
          <w:rFonts w:ascii="宋体" w:hAnsi="宋体"/>
          <w:b/>
          <w:color w:val="auto"/>
          <w:szCs w:val="21"/>
          <w:highlight w:val="none"/>
        </w:rPr>
        <w:t>1</w:t>
      </w:r>
      <w:r>
        <w:rPr>
          <w:rFonts w:hint="eastAsia" w:ascii="宋体" w:hAnsi="宋体"/>
          <w:b/>
          <w:color w:val="auto"/>
          <w:szCs w:val="21"/>
          <w:highlight w:val="none"/>
        </w:rPr>
        <w:t>条规定中“必须提供”或者“委托时必须提供”的文件资料的；</w:t>
      </w:r>
    </w:p>
    <w:p w14:paraId="31AC62BD">
      <w:pPr>
        <w:numPr>
          <w:ilvl w:val="0"/>
          <w:numId w:val="7"/>
        </w:numPr>
        <w:shd w:val="clea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投标文件的实质性内容未使用中文表述、使用计量单位不符合招标文件要求的；</w:t>
      </w:r>
    </w:p>
    <w:p w14:paraId="0067B551">
      <w:pPr>
        <w:numPr>
          <w:ilvl w:val="0"/>
          <w:numId w:val="7"/>
        </w:numPr>
        <w:shd w:val="clea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投标文件中的文件资料因填写不齐全或者内容虚假或者出现其他情形而导致被评标委员会认定无效的；</w:t>
      </w:r>
    </w:p>
    <w:p w14:paraId="2D4ADFEA">
      <w:pPr>
        <w:numPr>
          <w:ilvl w:val="0"/>
          <w:numId w:val="7"/>
        </w:numPr>
        <w:shd w:val="clea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投标文件含有招标人不能接受的附加条件的；</w:t>
      </w:r>
    </w:p>
    <w:p w14:paraId="024413D7">
      <w:pPr>
        <w:numPr>
          <w:ilvl w:val="0"/>
          <w:numId w:val="7"/>
        </w:numPr>
        <w:shd w:val="clea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属于投标人须知正文第</w:t>
      </w:r>
      <w:r>
        <w:rPr>
          <w:rFonts w:ascii="宋体" w:hAnsi="宋体"/>
          <w:b/>
          <w:color w:val="auto"/>
          <w:szCs w:val="21"/>
          <w:highlight w:val="none"/>
        </w:rPr>
        <w:t>9.2</w:t>
      </w:r>
      <w:r>
        <w:rPr>
          <w:rFonts w:hint="eastAsia" w:ascii="宋体" w:hAnsi="宋体"/>
          <w:b/>
          <w:color w:val="auto"/>
          <w:szCs w:val="21"/>
          <w:highlight w:val="none"/>
        </w:rPr>
        <w:t>条情形的；</w:t>
      </w:r>
    </w:p>
    <w:p w14:paraId="2B94533A">
      <w:pPr>
        <w:numPr>
          <w:ilvl w:val="0"/>
          <w:numId w:val="7"/>
        </w:numPr>
        <w:shd w:val="clea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投标文件标注的项目名称或者项目编号与招标文件标注的项目名称或者项目编号不一致的；</w:t>
      </w:r>
    </w:p>
    <w:p w14:paraId="7D18976E">
      <w:pPr>
        <w:numPr>
          <w:ilvl w:val="0"/>
          <w:numId w:val="7"/>
        </w:numPr>
        <w:shd w:val="clea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未响应招标文件实质性要求的；</w:t>
      </w:r>
    </w:p>
    <w:p w14:paraId="20B4220F">
      <w:pPr>
        <w:numPr>
          <w:ilvl w:val="0"/>
          <w:numId w:val="7"/>
        </w:numPr>
        <w:shd w:val="clea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法律、法规和招标文件规定的其他无效情形。</w:t>
      </w:r>
    </w:p>
    <w:p w14:paraId="26AB12B3">
      <w:pPr>
        <w:pStyle w:val="7"/>
        <w:keepNext w:val="0"/>
        <w:keepLines w:val="0"/>
        <w:shd w:val="clear"/>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2.3在技术评审时，如发现下列情形之一的，将被视为投标无效：</w:t>
      </w:r>
    </w:p>
    <w:p w14:paraId="01B6DFBF">
      <w:pPr>
        <w:pStyle w:val="20"/>
        <w:shd w:val="clear"/>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（1）明显不满足招标文件要求的技术规格、安全、质量标准；</w:t>
      </w:r>
    </w:p>
    <w:p w14:paraId="50FBD617">
      <w:pPr>
        <w:pStyle w:val="20"/>
        <w:shd w:val="clear"/>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（2）投标文件未提供“投标人须知前附表”第13.</w:t>
      </w:r>
      <w:r>
        <w:rPr>
          <w:rFonts w:ascii="宋体" w:hAnsi="宋体" w:eastAsia="宋体"/>
          <w:b/>
          <w:color w:val="auto"/>
          <w:kern w:val="2"/>
          <w:sz w:val="21"/>
          <w:szCs w:val="21"/>
          <w:highlight w:val="none"/>
        </w:rPr>
        <w:t>1</w:t>
      </w:r>
      <w:r>
        <w:rPr>
          <w:rFonts w:hint="eastAsia" w:ascii="宋体" w:hAnsi="宋体" w:eastAsia="宋体"/>
          <w:b/>
          <w:color w:val="auto"/>
          <w:kern w:val="2"/>
          <w:sz w:val="21"/>
          <w:szCs w:val="21"/>
          <w:highlight w:val="none"/>
        </w:rPr>
        <w:t>条规定中“必须提供”的文件资料的；</w:t>
      </w:r>
    </w:p>
    <w:p w14:paraId="7A6F599A">
      <w:pPr>
        <w:pStyle w:val="20"/>
        <w:shd w:val="clear"/>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（3）虚假投标，或者出现其他情形而导致被评标委员会认定无效的；</w:t>
      </w:r>
    </w:p>
    <w:p w14:paraId="4330F1DA">
      <w:pPr>
        <w:pStyle w:val="20"/>
        <w:shd w:val="clear"/>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（4）</w:t>
      </w:r>
      <w:bookmarkStart w:id="154" w:name="_Hlk71706244"/>
      <w:r>
        <w:rPr>
          <w:rFonts w:hint="eastAsia" w:ascii="宋体" w:hAnsi="宋体" w:eastAsia="宋体"/>
          <w:b/>
          <w:color w:val="auto"/>
          <w:kern w:val="2"/>
          <w:sz w:val="21"/>
          <w:szCs w:val="21"/>
          <w:highlight w:val="none"/>
        </w:rPr>
        <w:t>招标文件未载明允许提供备选（替代）投标方案或明确不允许提供备选（替代）投标方案时，投标人提供了备选（替代）投标方案的；</w:t>
      </w:r>
      <w:bookmarkEnd w:id="154"/>
    </w:p>
    <w:p w14:paraId="4F4DAB10">
      <w:pPr>
        <w:pStyle w:val="20"/>
        <w:shd w:val="clear"/>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（5）未响应招标文件实质性要求的。</w:t>
      </w:r>
    </w:p>
    <w:p w14:paraId="01A4D64C">
      <w:pPr>
        <w:pStyle w:val="7"/>
        <w:keepNext w:val="0"/>
        <w:keepLines w:val="0"/>
        <w:shd w:val="clear"/>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3</w:t>
      </w:r>
      <w:r>
        <w:rPr>
          <w:rFonts w:ascii="宋体" w:hAnsi="宋体"/>
          <w:color w:val="auto"/>
          <w:sz w:val="21"/>
          <w:szCs w:val="21"/>
          <w:highlight w:val="none"/>
        </w:rPr>
        <w:t>.</w:t>
      </w:r>
      <w:r>
        <w:rPr>
          <w:rFonts w:hint="eastAsia" w:ascii="宋体" w:hAnsi="宋体"/>
          <w:color w:val="auto"/>
          <w:sz w:val="21"/>
          <w:szCs w:val="21"/>
          <w:highlight w:val="none"/>
        </w:rPr>
        <w:t>澄清补正</w:t>
      </w:r>
    </w:p>
    <w:p w14:paraId="71693F94">
      <w:pPr>
        <w:shd w:val="clear"/>
        <w:snapToGrid w:val="0"/>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以书面形式要求投标人在规定时间内作出必要的澄清、说明或者纠正。投标人的澄清、说明或者补正必须采用书面形式，并加盖公章，或者由法定代表人或者其授权的代表签字。投标人的澄清、说明或者补正不得超出投标文件的范围或者改变投标文件的实质性内容。</w:t>
      </w:r>
    </w:p>
    <w:p w14:paraId="634DFA21">
      <w:pPr>
        <w:pStyle w:val="7"/>
        <w:keepNext w:val="0"/>
        <w:keepLines w:val="0"/>
        <w:shd w:val="clear"/>
        <w:spacing w:before="0" w:after="0" w:line="360" w:lineRule="auto"/>
        <w:ind w:left="420" w:leftChars="200"/>
        <w:rPr>
          <w:rFonts w:hint="eastAsia"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rPr>
        <w:t>投标文件修正</w:t>
      </w:r>
    </w:p>
    <w:p w14:paraId="42CDBBCC">
      <w:pPr>
        <w:pStyle w:val="7"/>
        <w:keepNext w:val="0"/>
        <w:keepLines w:val="0"/>
        <w:shd w:val="clear"/>
        <w:spacing w:before="0" w:after="0" w:line="360" w:lineRule="auto"/>
        <w:ind w:left="420" w:leftChars="200"/>
        <w:rPr>
          <w:rFonts w:hint="eastAsia" w:ascii="宋体" w:hAnsi="宋体"/>
          <w:b w:val="0"/>
          <w:color w:val="auto"/>
          <w:sz w:val="21"/>
          <w:szCs w:val="21"/>
          <w:highlight w:val="none"/>
        </w:rPr>
      </w:pPr>
      <w:r>
        <w:rPr>
          <w:rFonts w:ascii="宋体" w:hAnsi="宋体"/>
          <w:b w:val="0"/>
          <w:color w:val="auto"/>
          <w:sz w:val="21"/>
          <w:szCs w:val="21"/>
          <w:highlight w:val="none"/>
        </w:rPr>
        <w:t>4</w:t>
      </w:r>
      <w:r>
        <w:rPr>
          <w:rFonts w:hint="eastAsia" w:ascii="宋体" w:hAnsi="宋体"/>
          <w:b w:val="0"/>
          <w:color w:val="auto"/>
          <w:sz w:val="21"/>
          <w:szCs w:val="21"/>
          <w:highlight w:val="none"/>
        </w:rPr>
        <w:t xml:space="preserve">.1投标文件报价出现前后不一致的，按照下列规定修正： </w:t>
      </w:r>
    </w:p>
    <w:p w14:paraId="27EB9EB8">
      <w:pPr>
        <w:pStyle w:val="26"/>
        <w:shd w:val="clear"/>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（1）投标文件中开标一览表（报价表）内容与投标文件中相应内容不一致的，以开标一览表（报价表）为准；</w:t>
      </w:r>
    </w:p>
    <w:p w14:paraId="4D06ECF4">
      <w:pPr>
        <w:pStyle w:val="26"/>
        <w:shd w:val="clear"/>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（2）大写金额和小写金额不一致的，以大写金额为准；</w:t>
      </w:r>
    </w:p>
    <w:p w14:paraId="42733226">
      <w:pPr>
        <w:pStyle w:val="26"/>
        <w:shd w:val="clear"/>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（3）单价金额小数点或者百分比有明显错位的，以开标一览表的总价为准，并修改单价；</w:t>
      </w:r>
    </w:p>
    <w:p w14:paraId="678F7A31">
      <w:pPr>
        <w:pStyle w:val="26"/>
        <w:shd w:val="clear"/>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（4）总价金额与按单价汇总金额不一致的，以单价金额计算结果为准。</w:t>
      </w:r>
    </w:p>
    <w:p w14:paraId="017F5650">
      <w:pPr>
        <w:pStyle w:val="26"/>
        <w:shd w:val="clear"/>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同时出现两种以上不一致的，按照以上（1）-（4）规定的顺序修正。修正后的报价经投标人确认后产生约束力，投标人不确认的，</w:t>
      </w:r>
      <w:r>
        <w:rPr>
          <w:rFonts w:hint="eastAsia" w:hAnsi="宋体"/>
          <w:b/>
          <w:color w:val="auto"/>
          <w:kern w:val="2"/>
          <w:sz w:val="21"/>
          <w:highlight w:val="none"/>
        </w:rPr>
        <w:t>其投标无效</w:t>
      </w:r>
      <w:r>
        <w:rPr>
          <w:rFonts w:hint="eastAsia" w:hAnsi="宋体"/>
          <w:color w:val="auto"/>
          <w:sz w:val="21"/>
          <w:highlight w:val="none"/>
        </w:rPr>
        <w:t>。</w:t>
      </w:r>
    </w:p>
    <w:p w14:paraId="70D51E4A">
      <w:pPr>
        <w:pStyle w:val="7"/>
        <w:keepNext w:val="0"/>
        <w:keepLines w:val="0"/>
        <w:shd w:val="clear"/>
        <w:spacing w:before="0" w:after="0" w:line="360" w:lineRule="auto"/>
        <w:rPr>
          <w:rFonts w:hint="eastAsia" w:ascii="宋体" w:hAnsi="宋体"/>
          <w:b w:val="0"/>
          <w:color w:val="auto"/>
          <w:sz w:val="21"/>
          <w:szCs w:val="21"/>
          <w:highlight w:val="none"/>
        </w:rPr>
      </w:pPr>
      <w:r>
        <w:rPr>
          <w:rFonts w:ascii="宋体" w:hAnsi="宋体"/>
          <w:b w:val="0"/>
          <w:color w:val="auto"/>
          <w:sz w:val="21"/>
          <w:szCs w:val="21"/>
          <w:highlight w:val="none"/>
        </w:rPr>
        <w:t xml:space="preserve">    4</w:t>
      </w:r>
      <w:r>
        <w:rPr>
          <w:rFonts w:hint="eastAsia" w:ascii="宋体" w:hAnsi="宋体"/>
          <w:b w:val="0"/>
          <w:color w:val="auto"/>
          <w:sz w:val="21"/>
          <w:szCs w:val="21"/>
          <w:highlight w:val="none"/>
        </w:rPr>
        <w:t>.2经投标人确认修正后的报价若超过采购预算金额或者最高限价，</w:t>
      </w:r>
      <w:r>
        <w:rPr>
          <w:rFonts w:hint="eastAsia" w:ascii="宋体" w:hAnsi="宋体"/>
          <w:color w:val="auto"/>
          <w:sz w:val="21"/>
          <w:szCs w:val="21"/>
          <w:highlight w:val="none"/>
        </w:rPr>
        <w:t>投标人的投标文件作无效投标处理</w:t>
      </w:r>
      <w:r>
        <w:rPr>
          <w:rFonts w:hint="eastAsia" w:ascii="宋体" w:hAnsi="宋体"/>
          <w:b w:val="0"/>
          <w:color w:val="auto"/>
          <w:sz w:val="21"/>
          <w:szCs w:val="21"/>
          <w:highlight w:val="none"/>
        </w:rPr>
        <w:t>。</w:t>
      </w:r>
    </w:p>
    <w:p w14:paraId="78C243B1">
      <w:pPr>
        <w:shd w:val="clea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.3经投标人确认修正后的报价作为签订合同的依据，并以此报价计算价格分。</w:t>
      </w:r>
    </w:p>
    <w:p w14:paraId="48AAC123">
      <w:pPr>
        <w:pStyle w:val="7"/>
        <w:keepNext w:val="0"/>
        <w:keepLines w:val="0"/>
        <w:shd w:val="clear"/>
        <w:spacing w:before="0" w:after="0" w:line="360" w:lineRule="auto"/>
        <w:ind w:left="420" w:leftChars="200"/>
        <w:rPr>
          <w:rFonts w:hint="eastAsia" w:ascii="宋体" w:hAnsi="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比较与评价</w:t>
      </w:r>
    </w:p>
    <w:p w14:paraId="318C61E4">
      <w:pPr>
        <w:shd w:val="clea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5.1采用综合评分法的</w:t>
      </w:r>
    </w:p>
    <w:p w14:paraId="3FDD154E">
      <w:pPr>
        <w:shd w:val="clea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（1）评标委员会按照招标文件中规定的评标方法及评标标准，对符合性审查合格的投标文件进行商务和技术评估，综合比较与评价。</w:t>
      </w:r>
    </w:p>
    <w:p w14:paraId="3E9DCBA1">
      <w:pPr>
        <w:shd w:val="clea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（2）评标委员会独立对每个投标人的投标文件进行评价，并汇总每个投标人的得分。</w:t>
      </w:r>
    </w:p>
    <w:p w14:paraId="062482E8">
      <w:pPr>
        <w:shd w:val="clea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（3）评标委员会按照招标文件中规定的评标方法和标准计算各投标人的报价得分。在计算过程中，不得去掉最高报价或者最低报价。</w:t>
      </w:r>
    </w:p>
    <w:p w14:paraId="0BE3C993">
      <w:pPr>
        <w:shd w:val="clea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（4）各投标人的得分为所有评委的有效评分的算术平均数。</w:t>
      </w:r>
    </w:p>
    <w:p w14:paraId="06FB1536">
      <w:pPr>
        <w:shd w:val="clea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（5）评标委员会按照招标文件中的规定推荐中标候选人。</w:t>
      </w:r>
    </w:p>
    <w:p w14:paraId="1553EDEC">
      <w:pPr>
        <w:shd w:val="clea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735A9A7E">
      <w:pPr>
        <w:shd w:val="clea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5.2采用</w:t>
      </w:r>
      <w:r>
        <w:rPr>
          <w:rFonts w:hint="eastAsia" w:hAnsi="宋体"/>
          <w:color w:val="auto"/>
          <w:highlight w:val="none"/>
        </w:rPr>
        <w:t>最低评标报价法</w:t>
      </w:r>
      <w:r>
        <w:rPr>
          <w:rFonts w:hint="eastAsia" w:ascii="宋体" w:hAnsi="宋体"/>
          <w:color w:val="auto"/>
          <w:szCs w:val="21"/>
          <w:highlight w:val="none"/>
        </w:rPr>
        <w:t>的</w:t>
      </w:r>
    </w:p>
    <w:p w14:paraId="619DE263">
      <w:pPr>
        <w:shd w:val="clear"/>
        <w:snapToGrid w:val="0"/>
        <w:spacing w:line="360" w:lineRule="auto"/>
        <w:ind w:firstLine="424" w:firstLineChars="202"/>
        <w:jc w:val="left"/>
        <w:rPr>
          <w:rFonts w:hint="eastAsia" w:ascii="宋体" w:hAnsi="宋体"/>
          <w:color w:val="auto"/>
          <w:szCs w:val="21"/>
          <w:highlight w:val="none"/>
        </w:rPr>
      </w:pPr>
      <w:r>
        <w:rPr>
          <w:rFonts w:hint="eastAsia" w:ascii="宋体" w:hAnsi="宋体"/>
          <w:color w:val="auto"/>
          <w:szCs w:val="21"/>
          <w:highlight w:val="none"/>
        </w:rPr>
        <w:t>（1）评标委员会按照招标文件中规定的评标方法及评标标准，对符合性审查合格的投标文件报价进行比较。</w:t>
      </w:r>
    </w:p>
    <w:p w14:paraId="76B4BB3E">
      <w:pPr>
        <w:shd w:val="clear"/>
        <w:snapToGrid w:val="0"/>
        <w:spacing w:line="360" w:lineRule="auto"/>
        <w:ind w:firstLine="399" w:firstLineChars="202"/>
        <w:jc w:val="left"/>
        <w:rPr>
          <w:rFonts w:hint="eastAsia" w:ascii="宋体" w:hAnsi="宋体"/>
          <w:color w:val="auto"/>
          <w:spacing w:val="-6"/>
          <w:szCs w:val="21"/>
          <w:highlight w:val="none"/>
        </w:rPr>
      </w:pPr>
      <w:r>
        <w:rPr>
          <w:rFonts w:hint="eastAsia" w:ascii="宋体" w:hAnsi="宋体"/>
          <w:color w:val="auto"/>
          <w:spacing w:val="-6"/>
          <w:szCs w:val="21"/>
          <w:highlight w:val="none"/>
        </w:rPr>
        <w:t>（2）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7891485A">
      <w:pPr>
        <w:shd w:val="clear"/>
        <w:snapToGrid w:val="0"/>
        <w:spacing w:line="360" w:lineRule="auto"/>
        <w:ind w:firstLine="424" w:firstLineChars="202"/>
        <w:jc w:val="left"/>
        <w:rPr>
          <w:rFonts w:hint="eastAsia" w:ascii="宋体" w:hAnsi="宋体"/>
          <w:color w:val="auto"/>
          <w:szCs w:val="21"/>
          <w:highlight w:val="none"/>
        </w:rPr>
      </w:pPr>
      <w:r>
        <w:rPr>
          <w:rFonts w:hint="eastAsia" w:ascii="宋体" w:hAnsi="宋体"/>
          <w:color w:val="auto"/>
          <w:szCs w:val="21"/>
          <w:highlight w:val="none"/>
        </w:rPr>
        <w:t>（3）评标委员会按照招标文件中的规定推荐中标候选人。</w:t>
      </w:r>
    </w:p>
    <w:p w14:paraId="25943350">
      <w:pPr>
        <w:shd w:val="clear"/>
        <w:snapToGrid w:val="0"/>
        <w:spacing w:line="360" w:lineRule="auto"/>
        <w:ind w:firstLine="424" w:firstLineChars="202"/>
        <w:jc w:val="left"/>
        <w:rPr>
          <w:color w:val="auto"/>
          <w:highlight w:val="none"/>
        </w:rPr>
      </w:pPr>
      <w:r>
        <w:rPr>
          <w:rFonts w:hint="eastAsia" w:ascii="宋体" w:hAnsi="宋体"/>
          <w:color w:val="auto"/>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r>
        <w:rPr>
          <w:color w:val="auto"/>
          <w:highlight w:val="none"/>
        </w:rPr>
        <w:br w:type="page"/>
      </w:r>
      <w:r>
        <w:rPr>
          <w:rFonts w:hint="eastAsia" w:ascii="宋体" w:hAnsi="宋体" w:cs="宋体"/>
          <w:b/>
          <w:bCs/>
          <w:color w:val="auto"/>
          <w:sz w:val="32"/>
          <w:szCs w:val="32"/>
          <w:highlight w:val="none"/>
        </w:rPr>
        <w:t>评标标准</w:t>
      </w:r>
    </w:p>
    <w:p w14:paraId="4CF9E753">
      <w:pPr>
        <w:pStyle w:val="5"/>
        <w:keepNext w:val="0"/>
        <w:keepLines w:val="0"/>
        <w:shd w:val="clear"/>
        <w:jc w:val="center"/>
        <w:rPr>
          <w:color w:val="auto"/>
          <w:highlight w:val="none"/>
        </w:rPr>
      </w:pPr>
      <w:r>
        <w:rPr>
          <w:rFonts w:hint="eastAsia"/>
          <w:color w:val="auto"/>
          <w:highlight w:val="none"/>
        </w:rPr>
        <w:t>综合评分法</w:t>
      </w:r>
    </w:p>
    <w:tbl>
      <w:tblPr>
        <w:tblStyle w:val="48"/>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079"/>
        <w:gridCol w:w="1153"/>
        <w:gridCol w:w="6654"/>
      </w:tblGrid>
      <w:tr w14:paraId="3E55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753" w:type="dxa"/>
            <w:gridSpan w:val="2"/>
            <w:vAlign w:val="center"/>
          </w:tcPr>
          <w:p w14:paraId="1239C58D">
            <w:pPr>
              <w:shd w:val="clear"/>
              <w:adjustRightInd w:val="0"/>
              <w:snapToGrid w:val="0"/>
              <w:spacing w:line="410" w:lineRule="exact"/>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b/>
                <w:snapToGrid w:val="0"/>
                <w:color w:val="auto"/>
                <w:kern w:val="0"/>
                <w:szCs w:val="21"/>
                <w:highlight w:val="none"/>
                <w:lang w:eastAsia="en-US"/>
              </w:rPr>
              <w:t>序号</w:t>
            </w:r>
          </w:p>
        </w:tc>
        <w:tc>
          <w:tcPr>
            <w:tcW w:w="1153" w:type="dxa"/>
            <w:vAlign w:val="center"/>
          </w:tcPr>
          <w:p w14:paraId="799720D7">
            <w:pPr>
              <w:shd w:val="clear"/>
              <w:adjustRightInd w:val="0"/>
              <w:snapToGrid w:val="0"/>
              <w:spacing w:line="410" w:lineRule="exact"/>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b/>
                <w:snapToGrid w:val="0"/>
                <w:color w:val="auto"/>
                <w:kern w:val="0"/>
                <w:szCs w:val="21"/>
                <w:highlight w:val="none"/>
                <w:lang w:eastAsia="en-US"/>
              </w:rPr>
              <w:t>评审因素</w:t>
            </w:r>
          </w:p>
        </w:tc>
        <w:tc>
          <w:tcPr>
            <w:tcW w:w="6654" w:type="dxa"/>
            <w:vAlign w:val="center"/>
          </w:tcPr>
          <w:p w14:paraId="0A47E230">
            <w:pPr>
              <w:shd w:val="clear"/>
              <w:adjustRightInd w:val="0"/>
              <w:snapToGrid w:val="0"/>
              <w:spacing w:line="410" w:lineRule="exact"/>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b/>
                <w:snapToGrid w:val="0"/>
                <w:color w:val="auto"/>
                <w:kern w:val="0"/>
                <w:szCs w:val="21"/>
                <w:highlight w:val="none"/>
                <w:lang w:eastAsia="en-US"/>
              </w:rPr>
              <w:t>评标标准</w:t>
            </w:r>
          </w:p>
        </w:tc>
      </w:tr>
      <w:tr w14:paraId="0BD1E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674" w:type="dxa"/>
            <w:vAlign w:val="center"/>
          </w:tcPr>
          <w:p w14:paraId="71EE0689">
            <w:pPr>
              <w:shd w:val="clear"/>
              <w:adjustRightInd w:val="0"/>
              <w:snapToGrid w:val="0"/>
              <w:spacing w:line="410" w:lineRule="exact"/>
              <w:jc w:val="center"/>
              <w:textAlignment w:val="baseline"/>
              <w:rPr>
                <w:rFonts w:hint="eastAsia" w:ascii="宋体" w:hAnsi="宋体" w:cs="宋体"/>
                <w:b/>
                <w:snapToGrid w:val="0"/>
                <w:color w:val="auto"/>
                <w:kern w:val="0"/>
                <w:szCs w:val="21"/>
                <w:highlight w:val="none"/>
                <w:lang w:eastAsia="en-US"/>
              </w:rPr>
            </w:pPr>
            <w:r>
              <w:rPr>
                <w:rFonts w:hint="eastAsia" w:ascii="宋体" w:hAnsi="宋体" w:cs="宋体"/>
                <w:b/>
                <w:snapToGrid w:val="0"/>
                <w:color w:val="auto"/>
                <w:kern w:val="0"/>
                <w:szCs w:val="21"/>
                <w:highlight w:val="none"/>
                <w:lang w:eastAsia="en-US"/>
              </w:rPr>
              <w:t>1</w:t>
            </w:r>
          </w:p>
        </w:tc>
        <w:tc>
          <w:tcPr>
            <w:tcW w:w="1079" w:type="dxa"/>
            <w:vAlign w:val="center"/>
          </w:tcPr>
          <w:p w14:paraId="4F8AB2C4">
            <w:pPr>
              <w:shd w:val="clear"/>
              <w:adjustRightInd w:val="0"/>
              <w:snapToGrid w:val="0"/>
              <w:spacing w:line="410" w:lineRule="exact"/>
              <w:jc w:val="center"/>
              <w:textAlignment w:val="baseline"/>
              <w:rPr>
                <w:rFonts w:hint="eastAsia" w:ascii="宋体" w:hAnsi="宋体" w:cs="宋体"/>
                <w:bCs/>
                <w:snapToGrid w:val="0"/>
                <w:color w:val="auto"/>
                <w:kern w:val="0"/>
                <w:szCs w:val="21"/>
                <w:highlight w:val="none"/>
                <w:lang w:eastAsia="en-US"/>
              </w:rPr>
            </w:pPr>
            <w:r>
              <w:rPr>
                <w:rFonts w:hint="eastAsia" w:ascii="宋体" w:hAnsi="宋体" w:cs="宋体"/>
                <w:bCs/>
                <w:snapToGrid w:val="0"/>
                <w:color w:val="auto"/>
                <w:kern w:val="0"/>
                <w:szCs w:val="21"/>
                <w:highlight w:val="none"/>
                <w:lang w:eastAsia="en-US"/>
              </w:rPr>
              <w:t>价格分</w:t>
            </w:r>
          </w:p>
          <w:p w14:paraId="4FC32B91">
            <w:pPr>
              <w:shd w:val="clear"/>
              <w:adjustRightInd w:val="0"/>
              <w:snapToGrid w:val="0"/>
              <w:spacing w:line="410" w:lineRule="exact"/>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szCs w:val="21"/>
                <w:highlight w:val="none"/>
                <w:lang w:eastAsia="en-US"/>
              </w:rPr>
              <w:t>（满分</w:t>
            </w:r>
            <w:r>
              <w:rPr>
                <w:rFonts w:hint="eastAsia" w:ascii="宋体" w:hAnsi="宋体" w:cs="宋体"/>
                <w:snapToGrid w:val="0"/>
                <w:color w:val="auto"/>
                <w:kern w:val="0"/>
                <w:szCs w:val="21"/>
                <w:highlight w:val="none"/>
                <w:lang w:val="en-US" w:eastAsia="zh-CN"/>
              </w:rPr>
              <w:t>30</w:t>
            </w:r>
            <w:r>
              <w:rPr>
                <w:rFonts w:hint="eastAsia" w:ascii="宋体" w:hAnsi="宋体" w:cs="宋体"/>
                <w:snapToGrid w:val="0"/>
                <w:color w:val="auto"/>
                <w:kern w:val="0"/>
                <w:szCs w:val="21"/>
                <w:highlight w:val="none"/>
                <w:lang w:eastAsia="en-US"/>
              </w:rPr>
              <w:t>分）</w:t>
            </w:r>
          </w:p>
        </w:tc>
        <w:tc>
          <w:tcPr>
            <w:tcW w:w="1153" w:type="dxa"/>
            <w:vAlign w:val="center"/>
          </w:tcPr>
          <w:p w14:paraId="60016041">
            <w:pPr>
              <w:shd w:val="clear"/>
              <w:adjustRightInd w:val="0"/>
              <w:snapToGrid w:val="0"/>
              <w:spacing w:line="410" w:lineRule="exact"/>
              <w:jc w:val="center"/>
              <w:textAlignment w:val="baseline"/>
              <w:rPr>
                <w:rFonts w:hint="eastAsia" w:ascii="宋体" w:hAnsi="宋体" w:cs="宋体"/>
                <w:b/>
                <w:snapToGrid w:val="0"/>
                <w:color w:val="auto"/>
                <w:kern w:val="0"/>
                <w:szCs w:val="21"/>
                <w:highlight w:val="none"/>
                <w:lang w:eastAsia="en-US"/>
              </w:rPr>
            </w:pPr>
            <w:r>
              <w:rPr>
                <w:rFonts w:hint="eastAsia" w:ascii="宋体" w:hAnsi="宋体" w:cs="宋体"/>
                <w:bCs/>
                <w:snapToGrid w:val="0"/>
                <w:color w:val="auto"/>
                <w:kern w:val="0"/>
                <w:szCs w:val="21"/>
                <w:highlight w:val="none"/>
                <w:lang w:eastAsia="en-US"/>
              </w:rPr>
              <w:t>投标报价</w:t>
            </w:r>
          </w:p>
        </w:tc>
        <w:tc>
          <w:tcPr>
            <w:tcW w:w="6654" w:type="dxa"/>
            <w:vAlign w:val="center"/>
          </w:tcPr>
          <w:p w14:paraId="62C6E852">
            <w:pPr>
              <w:shd w:val="clear"/>
              <w:spacing w:line="360" w:lineRule="auto"/>
              <w:ind w:firstLine="233" w:firstLineChars="111"/>
              <w:jc w:val="left"/>
              <w:textAlignment w:val="baseline"/>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（1）评标报价为投标人的</w:t>
            </w:r>
            <w:r>
              <w:rPr>
                <w:rFonts w:hint="eastAsia" w:ascii="宋体" w:hAnsi="宋体" w:cs="宋体"/>
                <w:bCs/>
                <w:snapToGrid w:val="0"/>
                <w:color w:val="auto"/>
                <w:kern w:val="0"/>
                <w:szCs w:val="21"/>
                <w:highlight w:val="none"/>
                <w:lang w:val="en-US" w:eastAsia="zh-CN"/>
              </w:rPr>
              <w:t>投标</w:t>
            </w:r>
            <w:r>
              <w:rPr>
                <w:rFonts w:hint="eastAsia" w:ascii="宋体" w:hAnsi="宋体" w:cs="宋体"/>
                <w:bCs/>
                <w:snapToGrid w:val="0"/>
                <w:color w:val="auto"/>
                <w:kern w:val="0"/>
                <w:szCs w:val="21"/>
                <w:highlight w:val="none"/>
              </w:rPr>
              <w:t>报价</w:t>
            </w:r>
            <w:r>
              <w:rPr>
                <w:rFonts w:hint="eastAsia" w:ascii="宋体" w:hAnsi="宋体" w:cs="宋体"/>
                <w:bCs/>
                <w:snapToGrid w:val="0"/>
                <w:color w:val="auto"/>
                <w:kern w:val="0"/>
                <w:szCs w:val="21"/>
                <w:highlight w:val="none"/>
                <w:lang w:eastAsia="zh-CN"/>
              </w:rPr>
              <w:t>（</w:t>
            </w:r>
            <w:r>
              <w:rPr>
                <w:rFonts w:hint="eastAsia" w:ascii="宋体" w:hAnsi="宋体" w:cs="宋体"/>
                <w:bCs/>
                <w:snapToGrid w:val="0"/>
                <w:color w:val="auto"/>
                <w:kern w:val="0"/>
                <w:szCs w:val="21"/>
                <w:highlight w:val="none"/>
                <w:lang w:val="en-US" w:eastAsia="zh-CN"/>
              </w:rPr>
              <w:t>下浮系数</w:t>
            </w:r>
            <w:r>
              <w:rPr>
                <w:rFonts w:hint="eastAsia" w:ascii="宋体" w:hAnsi="宋体" w:cs="宋体"/>
                <w:bCs/>
                <w:snapToGrid w:val="0"/>
                <w:color w:val="auto"/>
                <w:kern w:val="0"/>
                <w:szCs w:val="21"/>
                <w:highlight w:val="none"/>
                <w:lang w:eastAsia="zh-CN"/>
              </w:rPr>
              <w:t>）</w:t>
            </w:r>
            <w:r>
              <w:rPr>
                <w:rFonts w:hint="eastAsia" w:ascii="宋体" w:hAnsi="宋体" w:cs="宋体"/>
                <w:bCs/>
                <w:snapToGrid w:val="0"/>
                <w:color w:val="auto"/>
                <w:kern w:val="0"/>
                <w:szCs w:val="21"/>
                <w:highlight w:val="none"/>
              </w:rPr>
              <w:t>进行政策性扣除后的价格，评标报价只是作为评标时使用。最终中标人的中标金额等于投标报价</w:t>
            </w:r>
            <w:r>
              <w:rPr>
                <w:rFonts w:hint="eastAsia" w:ascii="宋体" w:hAnsi="宋体" w:cs="宋体"/>
                <w:bCs/>
                <w:snapToGrid w:val="0"/>
                <w:color w:val="auto"/>
                <w:kern w:val="0"/>
                <w:szCs w:val="21"/>
                <w:highlight w:val="none"/>
                <w:lang w:eastAsia="zh-CN"/>
              </w:rPr>
              <w:t>（</w:t>
            </w:r>
            <w:r>
              <w:rPr>
                <w:rFonts w:hint="eastAsia" w:ascii="宋体" w:hAnsi="宋体" w:cs="宋体"/>
                <w:bCs/>
                <w:snapToGrid w:val="0"/>
                <w:color w:val="auto"/>
                <w:kern w:val="0"/>
                <w:szCs w:val="21"/>
                <w:highlight w:val="none"/>
                <w:lang w:val="en-US" w:eastAsia="zh-CN"/>
              </w:rPr>
              <w:t>下浮系数</w:t>
            </w:r>
            <w:r>
              <w:rPr>
                <w:rFonts w:hint="eastAsia" w:ascii="宋体" w:hAnsi="宋体" w:cs="宋体"/>
                <w:bCs/>
                <w:snapToGrid w:val="0"/>
                <w:color w:val="auto"/>
                <w:kern w:val="0"/>
                <w:szCs w:val="21"/>
                <w:highlight w:val="none"/>
                <w:lang w:eastAsia="zh-CN"/>
              </w:rPr>
              <w:t>）</w:t>
            </w:r>
            <w:r>
              <w:rPr>
                <w:rFonts w:hint="eastAsia" w:ascii="宋体" w:hAnsi="宋体" w:cs="宋体"/>
                <w:bCs/>
                <w:snapToGrid w:val="0"/>
                <w:color w:val="auto"/>
                <w:kern w:val="0"/>
                <w:szCs w:val="21"/>
                <w:highlight w:val="none"/>
              </w:rPr>
              <w:t>。</w:t>
            </w:r>
          </w:p>
          <w:p w14:paraId="08D7C802">
            <w:pPr>
              <w:shd w:val="clear"/>
              <w:spacing w:line="360" w:lineRule="auto"/>
              <w:ind w:firstLine="233" w:firstLineChars="111"/>
              <w:jc w:val="left"/>
              <w:textAlignment w:val="baseline"/>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（2）政策性扣除计算方法。</w:t>
            </w:r>
          </w:p>
          <w:p w14:paraId="5D976A3F">
            <w:pPr>
              <w:shd w:val="clear"/>
              <w:spacing w:line="360" w:lineRule="auto"/>
              <w:ind w:firstLine="233" w:firstLineChars="111"/>
              <w:jc w:val="left"/>
              <w:textAlignment w:val="baseline"/>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lang w:eastAsia="en-US"/>
              </w:rPr>
              <w:t>按照《政府采购促进中小企业发展管理办法》（财库〔2020〕46号）及《广西壮族自治区财政厅关于贯彻落实政府采购支持中小企业发展政策的通知》（桂财采〔2022〕31号）的规定，投标人为小型</w:t>
            </w:r>
            <w:r>
              <w:rPr>
                <w:rFonts w:hint="eastAsia" w:ascii="宋体" w:hAnsi="宋体" w:cs="宋体"/>
                <w:bCs/>
                <w:snapToGrid w:val="0"/>
                <w:color w:val="auto"/>
                <w:kern w:val="0"/>
                <w:szCs w:val="21"/>
                <w:highlight w:val="none"/>
                <w:lang w:val="en-US" w:eastAsia="zh-CN"/>
              </w:rPr>
              <w:t>或</w:t>
            </w:r>
            <w:r>
              <w:rPr>
                <w:rFonts w:hint="eastAsia" w:ascii="宋体" w:hAnsi="宋体" w:cs="宋体"/>
                <w:bCs/>
                <w:snapToGrid w:val="0"/>
                <w:color w:val="auto"/>
                <w:kern w:val="0"/>
                <w:szCs w:val="21"/>
                <w:highlight w:val="none"/>
                <w:lang w:eastAsia="en-US"/>
              </w:rPr>
              <w:t>微型企业</w:t>
            </w:r>
            <w:r>
              <w:rPr>
                <w:rFonts w:hint="eastAsia" w:ascii="宋体" w:hAnsi="宋体" w:cs="宋体"/>
                <w:bCs/>
                <w:snapToGrid w:val="0"/>
                <w:color w:val="auto"/>
                <w:kern w:val="0"/>
                <w:szCs w:val="21"/>
                <w:highlight w:val="none"/>
                <w:lang w:eastAsia="zh-CN"/>
              </w:rPr>
              <w:t>，</w:t>
            </w:r>
            <w:r>
              <w:rPr>
                <w:rFonts w:hint="eastAsia" w:ascii="宋体" w:hAnsi="宋体" w:cs="宋体"/>
                <w:bCs/>
                <w:snapToGrid w:val="0"/>
                <w:color w:val="auto"/>
                <w:kern w:val="0"/>
                <w:szCs w:val="21"/>
                <w:highlight w:val="none"/>
                <w:lang w:val="en-US" w:eastAsia="zh-CN"/>
              </w:rPr>
              <w:t>并</w:t>
            </w:r>
            <w:r>
              <w:rPr>
                <w:rFonts w:hint="eastAsia" w:ascii="宋体" w:hAnsi="宋体" w:cs="宋体"/>
                <w:bCs/>
                <w:snapToGrid w:val="0"/>
                <w:color w:val="auto"/>
                <w:kern w:val="0"/>
                <w:szCs w:val="21"/>
                <w:highlight w:val="none"/>
                <w:lang w:eastAsia="en-US"/>
              </w:rPr>
              <w:t>在其投标文件中提供《中小企业声明函》</w:t>
            </w:r>
            <w:r>
              <w:rPr>
                <w:rFonts w:hint="eastAsia" w:ascii="宋体" w:hAnsi="宋体" w:cs="宋体"/>
                <w:bCs/>
                <w:snapToGrid w:val="0"/>
                <w:color w:val="auto"/>
                <w:kern w:val="0"/>
                <w:szCs w:val="21"/>
                <w:highlight w:val="none"/>
                <w:lang w:val="en-US" w:eastAsia="zh-CN"/>
              </w:rPr>
              <w:t>的</w:t>
            </w:r>
            <w:r>
              <w:rPr>
                <w:rFonts w:hint="eastAsia" w:ascii="宋体" w:hAnsi="宋体" w:cs="宋体"/>
                <w:bCs/>
                <w:snapToGrid w:val="0"/>
                <w:color w:val="auto"/>
                <w:kern w:val="0"/>
                <w:szCs w:val="21"/>
                <w:highlight w:val="none"/>
                <w:lang w:eastAsia="en-US"/>
              </w:rPr>
              <w:t>，对其投标报价给予</w:t>
            </w:r>
            <w:r>
              <w:rPr>
                <w:rFonts w:hint="eastAsia" w:ascii="宋体" w:hAnsi="宋体" w:cs="宋体"/>
                <w:bCs/>
                <w:snapToGrid w:val="0"/>
                <w:color w:val="auto"/>
                <w:kern w:val="0"/>
                <w:szCs w:val="21"/>
                <w:highlight w:val="none"/>
                <w:lang w:val="en-US" w:eastAsia="zh-CN"/>
              </w:rPr>
              <w:t>10%</w:t>
            </w:r>
            <w:r>
              <w:rPr>
                <w:rFonts w:hint="eastAsia" w:ascii="宋体" w:hAnsi="宋体" w:cs="宋体"/>
                <w:bCs/>
                <w:snapToGrid w:val="0"/>
                <w:color w:val="auto"/>
                <w:kern w:val="0"/>
                <w:szCs w:val="21"/>
                <w:highlight w:val="none"/>
                <w:lang w:eastAsia="en-US"/>
              </w:rPr>
              <w:t>的扣除，扣除后的价格为评标报价，即评标报价=</w:t>
            </w:r>
            <w:r>
              <w:rPr>
                <w:rFonts w:hint="eastAsia"/>
                <w:color w:val="auto"/>
                <w:lang w:eastAsia="zh-CN"/>
              </w:rPr>
              <w:t>【</w:t>
            </w:r>
            <w:r>
              <w:rPr>
                <w:rFonts w:hint="eastAsia"/>
                <w:color w:val="auto"/>
                <w:lang w:val="en-US" w:eastAsia="zh-CN"/>
              </w:rPr>
              <w:t>1-</w:t>
            </w:r>
            <w:r>
              <w:rPr>
                <w:rFonts w:hint="eastAsia" w:ascii="宋体" w:hAnsi="宋体" w:cs="宋体"/>
                <w:bCs/>
                <w:snapToGrid w:val="0"/>
                <w:color w:val="auto"/>
                <w:kern w:val="0"/>
                <w:szCs w:val="21"/>
                <w:highlight w:val="none"/>
                <w:lang w:eastAsia="zh-CN"/>
              </w:rPr>
              <w:t>（</w:t>
            </w:r>
            <w:r>
              <w:rPr>
                <w:rFonts w:hint="eastAsia" w:ascii="宋体" w:hAnsi="宋体" w:cs="宋体"/>
                <w:bCs/>
                <w:snapToGrid w:val="0"/>
                <w:color w:val="auto"/>
                <w:kern w:val="0"/>
                <w:szCs w:val="21"/>
                <w:highlight w:val="none"/>
                <w:lang w:val="en-US" w:eastAsia="zh-CN"/>
              </w:rPr>
              <w:t>1-下浮系数</w:t>
            </w:r>
            <w:r>
              <w:rPr>
                <w:rFonts w:hint="eastAsia" w:ascii="宋体" w:hAnsi="宋体" w:cs="宋体"/>
                <w:bCs/>
                <w:snapToGrid w:val="0"/>
                <w:color w:val="auto"/>
                <w:kern w:val="0"/>
                <w:szCs w:val="21"/>
                <w:highlight w:val="none"/>
                <w:lang w:eastAsia="zh-CN"/>
              </w:rPr>
              <w:t>）</w:t>
            </w:r>
            <w:r>
              <w:rPr>
                <w:rFonts w:hint="eastAsia" w:ascii="宋体" w:hAnsi="宋体" w:cs="宋体"/>
                <w:bCs/>
                <w:snapToGrid w:val="0"/>
                <w:color w:val="auto"/>
                <w:kern w:val="0"/>
                <w:szCs w:val="21"/>
                <w:highlight w:val="none"/>
                <w:lang w:eastAsia="en-US"/>
              </w:rPr>
              <w:t>×（1-</w:t>
            </w:r>
            <w:r>
              <w:rPr>
                <w:rFonts w:hint="eastAsia" w:ascii="宋体" w:hAnsi="宋体" w:cs="宋体"/>
                <w:bCs/>
                <w:snapToGrid w:val="0"/>
                <w:color w:val="auto"/>
                <w:kern w:val="0"/>
                <w:szCs w:val="21"/>
                <w:highlight w:val="none"/>
                <w:lang w:val="en-US" w:eastAsia="zh-CN"/>
              </w:rPr>
              <w:t>10%</w:t>
            </w:r>
            <w:r>
              <w:rPr>
                <w:rFonts w:hint="eastAsia" w:ascii="宋体" w:hAnsi="宋体" w:cs="宋体"/>
                <w:bCs/>
                <w:snapToGrid w:val="0"/>
                <w:color w:val="auto"/>
                <w:kern w:val="0"/>
                <w:szCs w:val="21"/>
                <w:highlight w:val="none"/>
                <w:lang w:eastAsia="en-US"/>
              </w:rPr>
              <w:t>）</w:t>
            </w:r>
            <w:r>
              <w:rPr>
                <w:rFonts w:hint="eastAsia"/>
                <w:color w:val="auto"/>
                <w:lang w:eastAsia="zh-CN"/>
              </w:rPr>
              <w:t>】</w:t>
            </w:r>
            <w:r>
              <w:rPr>
                <w:rFonts w:hint="eastAsia" w:ascii="宋体" w:hAnsi="宋体" w:cs="宋体"/>
                <w:bCs/>
                <w:snapToGrid w:val="0"/>
                <w:color w:val="auto"/>
                <w:kern w:val="0"/>
                <w:szCs w:val="21"/>
                <w:highlight w:val="none"/>
                <w:lang w:eastAsia="en-US"/>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6%的扣除，用扣除后的价格参加评审，扣除后的价格为评标报价，即【</w:t>
            </w:r>
            <w:r>
              <w:rPr>
                <w:rFonts w:hint="eastAsia" w:ascii="宋体" w:hAnsi="宋体" w:cs="宋体"/>
                <w:bCs/>
                <w:snapToGrid w:val="0"/>
                <w:color w:val="auto"/>
                <w:kern w:val="0"/>
                <w:szCs w:val="21"/>
                <w:highlight w:val="none"/>
                <w:lang w:val="en-US" w:eastAsia="en-US"/>
              </w:rPr>
              <w:t>1-</w:t>
            </w:r>
            <w:r>
              <w:rPr>
                <w:rFonts w:hint="eastAsia" w:ascii="宋体" w:hAnsi="宋体" w:cs="宋体"/>
                <w:bCs/>
                <w:snapToGrid w:val="0"/>
                <w:color w:val="auto"/>
                <w:kern w:val="0"/>
                <w:szCs w:val="21"/>
                <w:highlight w:val="none"/>
                <w:lang w:eastAsia="en-US"/>
              </w:rPr>
              <w:t>（</w:t>
            </w:r>
            <w:r>
              <w:rPr>
                <w:rFonts w:hint="eastAsia" w:ascii="宋体" w:hAnsi="宋体" w:cs="宋体"/>
                <w:bCs/>
                <w:snapToGrid w:val="0"/>
                <w:color w:val="auto"/>
                <w:kern w:val="0"/>
                <w:szCs w:val="21"/>
                <w:highlight w:val="none"/>
                <w:lang w:val="en-US" w:eastAsia="en-US"/>
              </w:rPr>
              <w:t>1-</w:t>
            </w:r>
            <w:r>
              <w:rPr>
                <w:rFonts w:hint="eastAsia" w:ascii="宋体" w:hAnsi="宋体" w:cs="宋体"/>
                <w:bCs/>
                <w:snapToGrid w:val="0"/>
                <w:color w:val="auto"/>
                <w:kern w:val="0"/>
                <w:szCs w:val="21"/>
                <w:highlight w:val="none"/>
                <w:lang w:val="en-US" w:eastAsia="zh-CN"/>
              </w:rPr>
              <w:t>下浮系数</w:t>
            </w:r>
            <w:r>
              <w:rPr>
                <w:rFonts w:hint="eastAsia" w:ascii="宋体" w:hAnsi="宋体" w:cs="宋体"/>
                <w:bCs/>
                <w:snapToGrid w:val="0"/>
                <w:color w:val="auto"/>
                <w:kern w:val="0"/>
                <w:szCs w:val="21"/>
                <w:highlight w:val="none"/>
                <w:lang w:eastAsia="en-US"/>
              </w:rPr>
              <w:t>）×（1</w:t>
            </w:r>
            <w:r>
              <w:rPr>
                <w:rFonts w:hint="eastAsia" w:ascii="宋体" w:hAnsi="宋体" w:cs="宋体"/>
                <w:bCs/>
                <w:snapToGrid w:val="0"/>
                <w:color w:val="auto"/>
                <w:kern w:val="0"/>
                <w:szCs w:val="21"/>
                <w:highlight w:val="none"/>
                <w:lang w:val="en-US" w:eastAsia="zh-CN"/>
              </w:rPr>
              <w:t>-6</w:t>
            </w:r>
            <w:r>
              <w:rPr>
                <w:rFonts w:hint="eastAsia" w:ascii="宋体" w:hAnsi="宋体" w:cs="宋体"/>
                <w:bCs/>
                <w:snapToGrid w:val="0"/>
                <w:color w:val="auto"/>
                <w:kern w:val="0"/>
                <w:szCs w:val="21"/>
                <w:highlight w:val="none"/>
                <w:lang w:val="en-US" w:eastAsia="en-US"/>
              </w:rPr>
              <w:t>%</w:t>
            </w:r>
            <w:r>
              <w:rPr>
                <w:rFonts w:hint="eastAsia" w:ascii="宋体" w:hAnsi="宋体" w:cs="宋体"/>
                <w:bCs/>
                <w:snapToGrid w:val="0"/>
                <w:color w:val="auto"/>
                <w:kern w:val="0"/>
                <w:szCs w:val="21"/>
                <w:highlight w:val="none"/>
                <w:lang w:eastAsia="en-US"/>
              </w:rPr>
              <w:t>）】。除上述情况外，评标报价=投标报价。</w:t>
            </w:r>
          </w:p>
          <w:p w14:paraId="4BED8BC5">
            <w:pPr>
              <w:shd w:val="clear"/>
              <w:spacing w:line="360" w:lineRule="auto"/>
              <w:ind w:firstLine="233" w:firstLineChars="111"/>
              <w:jc w:val="left"/>
              <w:textAlignment w:val="baseline"/>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38E0AD63">
            <w:pPr>
              <w:shd w:val="clear"/>
              <w:spacing w:line="360" w:lineRule="auto"/>
              <w:ind w:firstLine="233" w:firstLineChars="111"/>
              <w:jc w:val="left"/>
              <w:textAlignment w:val="baseline"/>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F7F5CF9">
            <w:pPr>
              <w:shd w:val="clear"/>
              <w:spacing w:line="360" w:lineRule="auto"/>
              <w:ind w:firstLine="233" w:firstLineChars="111"/>
              <w:jc w:val="left"/>
              <w:textAlignment w:val="baseline"/>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（5）满足招标文件要求且评标报价最</w:t>
            </w:r>
            <w:r>
              <w:rPr>
                <w:rFonts w:hint="eastAsia" w:ascii="宋体" w:hAnsi="宋体" w:cs="宋体"/>
                <w:bCs/>
                <w:snapToGrid w:val="0"/>
                <w:color w:val="auto"/>
                <w:kern w:val="0"/>
                <w:szCs w:val="21"/>
                <w:highlight w:val="none"/>
                <w:lang w:val="en-US" w:eastAsia="zh-CN"/>
              </w:rPr>
              <w:t>高</w:t>
            </w:r>
            <w:r>
              <w:rPr>
                <w:rFonts w:hint="eastAsia" w:ascii="宋体" w:hAnsi="宋体" w:cs="宋体"/>
                <w:bCs/>
                <w:snapToGrid w:val="0"/>
                <w:color w:val="auto"/>
                <w:kern w:val="0"/>
                <w:szCs w:val="21"/>
                <w:highlight w:val="none"/>
              </w:rPr>
              <w:t>的评标报价为评标基准价，其价格分为满分。</w:t>
            </w:r>
          </w:p>
          <w:p w14:paraId="60CE84FF">
            <w:pPr>
              <w:shd w:val="clear"/>
              <w:spacing w:line="360" w:lineRule="auto"/>
              <w:ind w:firstLine="233" w:firstLineChars="111"/>
              <w:jc w:val="left"/>
              <w:textAlignment w:val="baseline"/>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 xml:space="preserve">（6）价格分计算公式：        </w:t>
            </w:r>
          </w:p>
          <w:p w14:paraId="763F454E">
            <w:pPr>
              <w:spacing w:line="360" w:lineRule="auto"/>
              <w:ind w:firstLine="233" w:firstLineChars="111"/>
              <w:jc w:val="left"/>
              <w:textAlignment w:val="baseline"/>
              <w:rPr>
                <w:rFonts w:hint="eastAsia" w:eastAsia="宋体"/>
                <w:color w:val="auto"/>
                <w:lang w:val="en-US" w:eastAsia="zh-CN"/>
              </w:rPr>
            </w:pPr>
            <w:r>
              <w:rPr>
                <w:rFonts w:hint="eastAsia" w:ascii="宋体" w:hAnsi="宋体" w:cs="宋体"/>
                <w:bCs/>
                <w:snapToGrid w:val="0"/>
                <w:color w:val="auto"/>
                <w:kern w:val="0"/>
                <w:szCs w:val="21"/>
                <w:highlight w:val="none"/>
              </w:rPr>
              <w:t>价格分=(</w:t>
            </w:r>
            <w:r>
              <w:rPr>
                <w:rFonts w:hint="eastAsia" w:ascii="宋体" w:hAnsi="宋体" w:cs="宋体"/>
                <w:bCs/>
                <w:snapToGrid w:val="0"/>
                <w:color w:val="auto"/>
                <w:kern w:val="0"/>
                <w:szCs w:val="21"/>
                <w:highlight w:val="none"/>
                <w:lang w:val="en-US" w:eastAsia="zh-CN"/>
              </w:rPr>
              <w:t>1-</w:t>
            </w:r>
            <w:r>
              <w:rPr>
                <w:rFonts w:hint="eastAsia" w:ascii="宋体" w:hAnsi="宋体" w:cs="宋体"/>
                <w:bCs/>
                <w:snapToGrid w:val="0"/>
                <w:color w:val="auto"/>
                <w:kern w:val="0"/>
                <w:szCs w:val="21"/>
                <w:highlight w:val="none"/>
              </w:rPr>
              <w:t>评标基准价</w:t>
            </w:r>
            <w:r>
              <w:rPr>
                <w:rFonts w:hint="eastAsia" w:ascii="宋体" w:hAnsi="宋体" w:cs="宋体"/>
                <w:bCs/>
                <w:snapToGrid w:val="0"/>
                <w:color w:val="auto"/>
                <w:kern w:val="0"/>
                <w:szCs w:val="21"/>
                <w:highlight w:val="none"/>
                <w:lang w:eastAsia="zh-CN"/>
              </w:rPr>
              <w:t>）</w:t>
            </w:r>
            <w:r>
              <w:rPr>
                <w:rFonts w:hint="eastAsia" w:ascii="宋体" w:hAnsi="宋体" w:cs="宋体"/>
                <w:bCs/>
                <w:snapToGrid w:val="0"/>
                <w:color w:val="auto"/>
                <w:kern w:val="0"/>
                <w:szCs w:val="21"/>
                <w:highlight w:val="none"/>
              </w:rPr>
              <w:t>／</w:t>
            </w:r>
            <w:r>
              <w:rPr>
                <w:rFonts w:hint="eastAsia" w:ascii="宋体" w:hAnsi="宋体" w:cs="宋体"/>
                <w:bCs/>
                <w:snapToGrid w:val="0"/>
                <w:color w:val="auto"/>
                <w:kern w:val="0"/>
                <w:szCs w:val="21"/>
                <w:highlight w:val="none"/>
                <w:lang w:eastAsia="zh-CN"/>
              </w:rPr>
              <w:t>（</w:t>
            </w:r>
            <w:r>
              <w:rPr>
                <w:rFonts w:hint="eastAsia" w:ascii="宋体" w:hAnsi="宋体" w:cs="宋体"/>
                <w:bCs/>
                <w:snapToGrid w:val="0"/>
                <w:color w:val="auto"/>
                <w:kern w:val="0"/>
                <w:szCs w:val="21"/>
                <w:highlight w:val="none"/>
                <w:lang w:val="en-US" w:eastAsia="zh-CN"/>
              </w:rPr>
              <w:t>1-</w:t>
            </w:r>
            <w:r>
              <w:rPr>
                <w:rFonts w:hint="eastAsia" w:ascii="宋体" w:hAnsi="宋体" w:cs="宋体"/>
                <w:bCs/>
                <w:snapToGrid w:val="0"/>
                <w:color w:val="auto"/>
                <w:kern w:val="0"/>
                <w:szCs w:val="21"/>
                <w:highlight w:val="none"/>
              </w:rPr>
              <w:t>评标报价)×</w:t>
            </w:r>
            <w:r>
              <w:rPr>
                <w:rFonts w:hint="eastAsia" w:ascii="宋体" w:hAnsi="宋体" w:cs="宋体"/>
                <w:bCs/>
                <w:snapToGrid w:val="0"/>
                <w:color w:val="auto"/>
                <w:kern w:val="0"/>
                <w:szCs w:val="21"/>
                <w:highlight w:val="none"/>
                <w:lang w:val="en-US" w:eastAsia="zh-CN"/>
              </w:rPr>
              <w:t>30</w:t>
            </w:r>
            <w:r>
              <w:rPr>
                <w:rFonts w:hint="eastAsia" w:ascii="宋体" w:hAnsi="宋体" w:cs="宋体"/>
                <w:bCs/>
                <w:snapToGrid w:val="0"/>
                <w:color w:val="auto"/>
                <w:kern w:val="0"/>
                <w:szCs w:val="21"/>
                <w:highlight w:val="none"/>
              </w:rPr>
              <w:t>分</w:t>
            </w:r>
          </w:p>
        </w:tc>
      </w:tr>
      <w:tr w14:paraId="45DE5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674" w:type="dxa"/>
            <w:vMerge w:val="restart"/>
            <w:vAlign w:val="center"/>
          </w:tcPr>
          <w:p w14:paraId="02847D86">
            <w:pPr>
              <w:shd w:val="clear"/>
              <w:adjustRightInd w:val="0"/>
              <w:snapToGrid w:val="0"/>
              <w:spacing w:line="410" w:lineRule="exact"/>
              <w:jc w:val="center"/>
              <w:textAlignment w:val="baseline"/>
              <w:rPr>
                <w:rFonts w:hint="eastAsia" w:ascii="宋体" w:hAnsi="宋体" w:cs="宋体"/>
                <w:b/>
                <w:snapToGrid w:val="0"/>
                <w:color w:val="auto"/>
                <w:kern w:val="0"/>
                <w:szCs w:val="21"/>
                <w:highlight w:val="none"/>
                <w:lang w:val="en-US" w:eastAsia="zh-CN"/>
              </w:rPr>
            </w:pPr>
            <w:r>
              <w:rPr>
                <w:rFonts w:hint="eastAsia" w:ascii="宋体" w:hAnsi="宋体" w:cs="宋体"/>
                <w:b/>
                <w:snapToGrid w:val="0"/>
                <w:color w:val="auto"/>
                <w:kern w:val="0"/>
                <w:szCs w:val="21"/>
                <w:highlight w:val="none"/>
                <w:lang w:val="en-US" w:eastAsia="zh-CN"/>
              </w:rPr>
              <w:t>2</w:t>
            </w:r>
          </w:p>
          <w:p w14:paraId="37D099D2">
            <w:pPr>
              <w:shd w:val="clear"/>
              <w:adjustRightInd w:val="0"/>
              <w:snapToGrid w:val="0"/>
              <w:spacing w:line="410" w:lineRule="exact"/>
              <w:jc w:val="center"/>
              <w:textAlignment w:val="baseline"/>
              <w:rPr>
                <w:rFonts w:hint="eastAsia" w:ascii="宋体" w:hAnsi="宋体" w:eastAsia="宋体" w:cs="宋体"/>
                <w:b/>
                <w:snapToGrid w:val="0"/>
                <w:color w:val="auto"/>
                <w:kern w:val="0"/>
                <w:szCs w:val="21"/>
                <w:highlight w:val="none"/>
                <w:lang w:eastAsia="zh-CN"/>
              </w:rPr>
            </w:pPr>
          </w:p>
        </w:tc>
        <w:tc>
          <w:tcPr>
            <w:tcW w:w="1079" w:type="dxa"/>
            <w:vMerge w:val="restart"/>
            <w:vAlign w:val="center"/>
          </w:tcPr>
          <w:p w14:paraId="66D83FC4">
            <w:pPr>
              <w:keepNext w:val="0"/>
              <w:keepLines w:val="0"/>
              <w:pageBreakBefore w:val="0"/>
              <w:shd w:val="clear"/>
              <w:kinsoku/>
              <w:wordWrap/>
              <w:overflowPunct/>
              <w:topLinePunct w:val="0"/>
              <w:autoSpaceDE/>
              <w:autoSpaceDN/>
              <w:bidi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技术分（满分</w:t>
            </w:r>
            <w:r>
              <w:rPr>
                <w:rFonts w:hint="eastAsia" w:ascii="宋体" w:hAnsi="宋体" w:cs="宋体"/>
                <w:snapToGrid w:val="0"/>
                <w:color w:val="auto"/>
                <w:kern w:val="0"/>
                <w:sz w:val="21"/>
                <w:szCs w:val="21"/>
                <w:highlight w:val="none"/>
                <w:lang w:val="en-US" w:eastAsia="zh-CN"/>
              </w:rPr>
              <w:t>48</w:t>
            </w:r>
            <w:r>
              <w:rPr>
                <w:rFonts w:hint="eastAsia" w:ascii="宋体" w:hAnsi="宋体" w:eastAsia="宋体" w:cs="宋体"/>
                <w:snapToGrid w:val="0"/>
                <w:color w:val="auto"/>
                <w:kern w:val="0"/>
                <w:sz w:val="21"/>
                <w:szCs w:val="21"/>
                <w:highlight w:val="none"/>
              </w:rPr>
              <w:t>分）</w:t>
            </w:r>
          </w:p>
        </w:tc>
        <w:tc>
          <w:tcPr>
            <w:tcW w:w="1153" w:type="dxa"/>
            <w:vAlign w:val="center"/>
          </w:tcPr>
          <w:p w14:paraId="2B2972C4">
            <w:pPr>
              <w:shd w:val="clear"/>
              <w:adjustRightInd w:val="0"/>
              <w:snapToGrid w:val="0"/>
              <w:spacing w:line="410" w:lineRule="exact"/>
              <w:jc w:val="center"/>
              <w:textAlignment w:val="baseline"/>
              <w:rPr>
                <w:rFonts w:hint="eastAsia" w:ascii="宋体" w:hAnsi="宋体" w:eastAsia="宋体" w:cs="宋体"/>
                <w:bCs/>
                <w:snapToGrid w:val="0"/>
                <w:color w:val="auto"/>
                <w:kern w:val="0"/>
                <w:szCs w:val="21"/>
                <w:highlight w:val="none"/>
                <w:lang w:eastAsia="zh-CN"/>
              </w:rPr>
            </w:pPr>
            <w:r>
              <w:rPr>
                <w:rFonts w:hint="eastAsia" w:ascii="宋体" w:hAnsi="宋体" w:cs="宋体"/>
                <w:bCs/>
                <w:snapToGrid w:val="0"/>
                <w:color w:val="auto"/>
                <w:kern w:val="0"/>
                <w:szCs w:val="21"/>
                <w:highlight w:val="none"/>
                <w:lang w:val="en-US" w:eastAsia="zh-CN"/>
              </w:rPr>
              <w:t>一、</w:t>
            </w:r>
            <w:r>
              <w:rPr>
                <w:rFonts w:hint="eastAsia" w:ascii="宋体" w:hAnsi="宋体" w:cs="宋体"/>
                <w:bCs/>
                <w:snapToGrid w:val="0"/>
                <w:color w:val="auto"/>
                <w:kern w:val="0"/>
                <w:szCs w:val="21"/>
                <w:highlight w:val="none"/>
                <w:lang w:val="en-US" w:eastAsia="en-US"/>
              </w:rPr>
              <w:t>服务</w:t>
            </w:r>
            <w:r>
              <w:rPr>
                <w:rFonts w:hint="eastAsia" w:ascii="宋体" w:hAnsi="宋体" w:cs="宋体"/>
                <w:bCs/>
                <w:snapToGrid w:val="0"/>
                <w:color w:val="auto"/>
                <w:kern w:val="0"/>
                <w:szCs w:val="21"/>
                <w:highlight w:val="none"/>
                <w:lang w:eastAsia="en-US"/>
              </w:rPr>
              <w:t>质量控制与保障方案</w:t>
            </w:r>
            <w:r>
              <w:rPr>
                <w:rFonts w:hint="eastAsia" w:ascii="宋体" w:hAnsi="宋体" w:cs="宋体"/>
                <w:bCs/>
                <w:snapToGrid w:val="0"/>
                <w:color w:val="auto"/>
                <w:kern w:val="0"/>
                <w:szCs w:val="21"/>
                <w:highlight w:val="none"/>
                <w:lang w:val="en-US" w:eastAsia="zh-CN"/>
              </w:rPr>
              <w:t>分</w:t>
            </w:r>
            <w:r>
              <w:rPr>
                <w:rFonts w:hint="eastAsia" w:ascii="宋体" w:hAnsi="宋体" w:cs="宋体"/>
                <w:bCs/>
                <w:snapToGrid w:val="0"/>
                <w:color w:val="auto"/>
                <w:kern w:val="0"/>
                <w:szCs w:val="21"/>
                <w:highlight w:val="none"/>
                <w:lang w:eastAsia="zh-CN"/>
              </w:rPr>
              <w:t>（</w:t>
            </w:r>
            <w:r>
              <w:rPr>
                <w:rFonts w:hint="eastAsia" w:ascii="宋体" w:hAnsi="宋体" w:cs="宋体"/>
                <w:bCs/>
                <w:snapToGrid w:val="0"/>
                <w:color w:val="auto"/>
                <w:kern w:val="0"/>
                <w:szCs w:val="21"/>
                <w:highlight w:val="none"/>
                <w:lang w:val="en-US" w:eastAsia="zh-CN"/>
              </w:rPr>
              <w:t>满分12分</w:t>
            </w:r>
            <w:r>
              <w:rPr>
                <w:rFonts w:hint="eastAsia" w:ascii="宋体" w:hAnsi="宋体" w:cs="宋体"/>
                <w:bCs/>
                <w:snapToGrid w:val="0"/>
                <w:color w:val="auto"/>
                <w:kern w:val="0"/>
                <w:szCs w:val="21"/>
                <w:highlight w:val="none"/>
                <w:lang w:eastAsia="zh-CN"/>
              </w:rPr>
              <w:t>）</w:t>
            </w:r>
          </w:p>
        </w:tc>
        <w:tc>
          <w:tcPr>
            <w:tcW w:w="6654" w:type="dxa"/>
            <w:vAlign w:val="center"/>
          </w:tcPr>
          <w:p w14:paraId="681DA638">
            <w:pPr>
              <w:shd w:val="clear"/>
              <w:spacing w:line="360" w:lineRule="auto"/>
              <w:ind w:firstLine="233" w:firstLineChars="111"/>
              <w:jc w:val="left"/>
              <w:textAlignment w:val="baseline"/>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lang w:val="en-US" w:eastAsia="zh-CN"/>
              </w:rPr>
              <w:t>由评标小组对投标人的方案独立进行打分，</w:t>
            </w:r>
            <w:r>
              <w:rPr>
                <w:rFonts w:hint="eastAsia" w:ascii="宋体" w:hAnsi="宋体" w:cs="宋体"/>
                <w:bCs/>
                <w:snapToGrid w:val="0"/>
                <w:color w:val="auto"/>
                <w:kern w:val="0"/>
                <w:szCs w:val="21"/>
                <w:highlight w:val="none"/>
              </w:rPr>
              <w:t>方案内容至少包括：（1）洗涤消毒标准符合性承诺与落实措施；（2）感染控制与分类洗涤专项措施；（3）洗涤用水、设备及用品管理方案；（4）特殊污渍处理及粪便污染被服不额外收费承诺；（5）质量检测与追溯机制。</w:t>
            </w:r>
          </w:p>
          <w:p w14:paraId="04BD8135">
            <w:pPr>
              <w:shd w:val="clear"/>
              <w:spacing w:line="360" w:lineRule="auto"/>
              <w:ind w:firstLine="233" w:firstLineChars="111"/>
              <w:jc w:val="left"/>
              <w:textAlignment w:val="baseline"/>
              <w:rPr>
                <w:rFonts w:hint="default" w:ascii="宋体" w:hAnsi="宋体" w:eastAsia="宋体" w:cs="宋体"/>
                <w:bCs/>
                <w:snapToGrid w:val="0"/>
                <w:color w:val="auto"/>
                <w:kern w:val="0"/>
                <w:szCs w:val="21"/>
                <w:highlight w:val="none"/>
                <w:lang w:val="en-US" w:eastAsia="zh-CN"/>
              </w:rPr>
            </w:pPr>
            <w:r>
              <w:rPr>
                <w:rFonts w:hint="eastAsia" w:ascii="宋体" w:hAnsi="宋体" w:cs="宋体"/>
                <w:bCs/>
                <w:snapToGrid w:val="0"/>
                <w:color w:val="auto"/>
                <w:kern w:val="0"/>
                <w:szCs w:val="21"/>
                <w:highlight w:val="none"/>
                <w:lang w:val="en-US" w:eastAsia="zh-CN"/>
              </w:rPr>
              <w:t>达不到一档要求的，得0分。</w:t>
            </w:r>
          </w:p>
          <w:p w14:paraId="7BDC4B83">
            <w:pPr>
              <w:shd w:val="clear"/>
              <w:spacing w:line="360" w:lineRule="auto"/>
              <w:ind w:firstLine="233" w:firstLineChars="111"/>
              <w:jc w:val="left"/>
              <w:textAlignment w:val="baseline"/>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一档（</w:t>
            </w:r>
            <w:r>
              <w:rPr>
                <w:rFonts w:hint="eastAsia" w:ascii="宋体" w:hAnsi="宋体" w:cs="宋体"/>
                <w:bCs/>
                <w:snapToGrid w:val="0"/>
                <w:color w:val="auto"/>
                <w:kern w:val="0"/>
                <w:szCs w:val="21"/>
                <w:highlight w:val="none"/>
                <w:lang w:val="en-US" w:eastAsia="zh-CN"/>
              </w:rPr>
              <w:t>3分</w:t>
            </w:r>
            <w:r>
              <w:rPr>
                <w:rFonts w:hint="eastAsia" w:ascii="宋体" w:hAnsi="宋体" w:cs="宋体"/>
                <w:bCs/>
                <w:snapToGrid w:val="0"/>
                <w:color w:val="auto"/>
                <w:kern w:val="0"/>
                <w:szCs w:val="21"/>
                <w:highlight w:val="none"/>
              </w:rPr>
              <w:t>）：方案内容严重缺失，仅提供少数制度名称或空洞表述。未结合医院洗涤场景，无具体操作参数和流程。关键项如分类洗涤、专机专用、粪便不收费、RFID系统等未响应或存在违规描述。制度</w:t>
            </w:r>
            <w:r>
              <w:rPr>
                <w:rFonts w:hint="eastAsia" w:ascii="宋体" w:hAnsi="宋体" w:cs="宋体"/>
                <w:bCs/>
                <w:snapToGrid w:val="0"/>
                <w:color w:val="auto"/>
                <w:kern w:val="0"/>
                <w:szCs w:val="21"/>
                <w:highlight w:val="none"/>
                <w:lang w:val="en-US" w:eastAsia="zh-CN"/>
              </w:rPr>
              <w:t>为</w:t>
            </w:r>
            <w:r>
              <w:rPr>
                <w:rFonts w:hint="eastAsia" w:ascii="宋体" w:hAnsi="宋体" w:cs="宋体"/>
                <w:bCs/>
                <w:snapToGrid w:val="0"/>
                <w:color w:val="auto"/>
                <w:kern w:val="0"/>
                <w:szCs w:val="21"/>
                <w:highlight w:val="none"/>
              </w:rPr>
              <w:t>通用模板，无法指导实际工作。对感染控制要求基本无视，洁污分区、传染病织物处理等无实质性内容。洗涤设备、用水、洗涤剂等仅泛泛而谈，缺乏可操作性。无质量检测计划，RFID追溯系统完全未提及。</w:t>
            </w:r>
          </w:p>
          <w:p w14:paraId="78D2B18D">
            <w:pPr>
              <w:shd w:val="clear"/>
              <w:spacing w:line="360" w:lineRule="auto"/>
              <w:ind w:firstLine="233" w:firstLineChars="111"/>
              <w:jc w:val="left"/>
              <w:textAlignment w:val="baseline"/>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二档（</w:t>
            </w:r>
            <w:r>
              <w:rPr>
                <w:rFonts w:hint="eastAsia" w:ascii="宋体" w:hAnsi="宋体" w:cs="宋体"/>
                <w:bCs/>
                <w:snapToGrid w:val="0"/>
                <w:color w:val="auto"/>
                <w:kern w:val="0"/>
                <w:szCs w:val="21"/>
                <w:highlight w:val="none"/>
                <w:lang w:val="en-US" w:eastAsia="zh-CN"/>
              </w:rPr>
              <w:t>6分</w:t>
            </w:r>
            <w:r>
              <w:rPr>
                <w:rFonts w:hint="eastAsia" w:ascii="宋体" w:hAnsi="宋体" w:cs="宋体"/>
                <w:bCs/>
                <w:snapToGrid w:val="0"/>
                <w:color w:val="auto"/>
                <w:kern w:val="0"/>
                <w:szCs w:val="21"/>
                <w:highlight w:val="none"/>
              </w:rPr>
              <w:t>）：方案覆盖五项内容，但描述笼统，缺乏关键细节。有制度和原则性表述，但无具体设备清单、分区图示、消毒参数、检测频次等。RFID仅概念性提及。对医院特殊要求如传染病织物处理、不与宾馆混洗等承诺不明确。污渍处理方案简单，粪便不收费承诺含糊。内部检测和第三方检测虽有提及但无具体安排。整体方案可执行性不强，难以有效保障洗涤质量和院感安全。</w:t>
            </w:r>
          </w:p>
          <w:p w14:paraId="45442E0A">
            <w:pPr>
              <w:shd w:val="clear"/>
              <w:spacing w:line="360" w:lineRule="auto"/>
              <w:ind w:firstLine="233" w:firstLineChars="111"/>
              <w:jc w:val="left"/>
              <w:textAlignment w:val="baseline"/>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三档（</w:t>
            </w:r>
            <w:r>
              <w:rPr>
                <w:rFonts w:hint="eastAsia" w:ascii="宋体" w:hAnsi="宋体" w:cs="宋体"/>
                <w:bCs/>
                <w:snapToGrid w:val="0"/>
                <w:color w:val="auto"/>
                <w:kern w:val="0"/>
                <w:szCs w:val="21"/>
                <w:highlight w:val="none"/>
                <w:lang w:val="en-US" w:eastAsia="zh-CN"/>
              </w:rPr>
              <w:t>9分</w:t>
            </w:r>
            <w:r>
              <w:rPr>
                <w:rFonts w:hint="eastAsia" w:ascii="宋体" w:hAnsi="宋体" w:cs="宋体"/>
                <w:bCs/>
                <w:snapToGrid w:val="0"/>
                <w:color w:val="auto"/>
                <w:kern w:val="0"/>
                <w:szCs w:val="21"/>
                <w:highlight w:val="none"/>
              </w:rPr>
              <w:t>）：方案体系完整、内容详细。五项内容均有具体操作标准和流程参数。提供分区图、专机分配表、洗涤剂承诺、污渍处理、内部检测计划</w:t>
            </w:r>
            <w:r>
              <w:rPr>
                <w:rFonts w:hint="eastAsia" w:ascii="宋体" w:hAnsi="宋体" w:cs="宋体"/>
                <w:bCs/>
                <w:snapToGrid w:val="0"/>
                <w:color w:val="auto"/>
                <w:kern w:val="0"/>
                <w:szCs w:val="21"/>
                <w:highlight w:val="none"/>
                <w:lang w:val="en-US" w:eastAsia="zh-CN"/>
              </w:rPr>
              <w:t>等</w:t>
            </w:r>
            <w:r>
              <w:rPr>
                <w:rFonts w:hint="eastAsia" w:ascii="宋体" w:hAnsi="宋体" w:cs="宋体"/>
                <w:bCs/>
                <w:snapToGrid w:val="0"/>
                <w:color w:val="auto"/>
                <w:kern w:val="0"/>
                <w:szCs w:val="21"/>
                <w:highlight w:val="none"/>
              </w:rPr>
              <w:t>。能</w:t>
            </w:r>
            <w:r>
              <w:rPr>
                <w:rFonts w:hint="eastAsia" w:ascii="宋体" w:hAnsi="宋体" w:cs="宋体"/>
                <w:bCs/>
                <w:snapToGrid w:val="0"/>
                <w:color w:val="auto"/>
                <w:kern w:val="0"/>
                <w:szCs w:val="21"/>
                <w:highlight w:val="none"/>
                <w:lang w:val="en-US" w:eastAsia="zh-CN"/>
              </w:rPr>
              <w:t>有效</w:t>
            </w:r>
            <w:r>
              <w:rPr>
                <w:rFonts w:hint="eastAsia" w:ascii="宋体" w:hAnsi="宋体" w:cs="宋体"/>
                <w:bCs/>
                <w:snapToGrid w:val="0"/>
                <w:color w:val="auto"/>
                <w:kern w:val="0"/>
                <w:szCs w:val="21"/>
                <w:highlight w:val="none"/>
              </w:rPr>
              <w:t>满足医院洗涤消毒需求。对感染控制、分类洗涤、专机专用等有明确措施。洗涤用水和设备有基本保障方案。质量检测机制完善，能配合院方进行监督考核。RFID系统有实施思路，数据保存承诺明确。</w:t>
            </w:r>
          </w:p>
          <w:p w14:paraId="06939513">
            <w:pPr>
              <w:shd w:val="clear"/>
              <w:spacing w:line="360" w:lineRule="auto"/>
              <w:ind w:firstLine="233" w:firstLineChars="111"/>
              <w:jc w:val="left"/>
              <w:textAlignment w:val="baseline"/>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四档（</w:t>
            </w:r>
            <w:r>
              <w:rPr>
                <w:rFonts w:hint="eastAsia" w:ascii="宋体" w:hAnsi="宋体" w:cs="宋体"/>
                <w:bCs/>
                <w:snapToGrid w:val="0"/>
                <w:color w:val="auto"/>
                <w:kern w:val="0"/>
                <w:szCs w:val="21"/>
                <w:highlight w:val="none"/>
                <w:lang w:val="en-US" w:eastAsia="zh-CN"/>
              </w:rPr>
              <w:t>12分</w:t>
            </w:r>
            <w:r>
              <w:rPr>
                <w:rFonts w:hint="eastAsia" w:ascii="宋体" w:hAnsi="宋体" w:cs="宋体"/>
                <w:bCs/>
                <w:snapToGrid w:val="0"/>
                <w:color w:val="auto"/>
                <w:kern w:val="0"/>
                <w:szCs w:val="21"/>
                <w:highlight w:val="none"/>
              </w:rPr>
              <w:t>）：</w:t>
            </w:r>
            <w:r>
              <w:rPr>
                <w:rFonts w:hint="eastAsia" w:ascii="宋体" w:hAnsi="宋体" w:cs="宋体"/>
                <w:bCs/>
                <w:snapToGrid w:val="0"/>
                <w:color w:val="auto"/>
                <w:kern w:val="0"/>
                <w:szCs w:val="21"/>
                <w:highlight w:val="none"/>
                <w:lang w:val="en-US" w:eastAsia="zh-CN"/>
              </w:rPr>
              <w:t>在满足三档的基础上，</w:t>
            </w:r>
            <w:r>
              <w:rPr>
                <w:rFonts w:hint="eastAsia" w:ascii="宋体" w:hAnsi="宋体" w:cs="宋体"/>
                <w:bCs/>
                <w:snapToGrid w:val="0"/>
                <w:color w:val="auto"/>
                <w:kern w:val="0"/>
                <w:szCs w:val="21"/>
                <w:highlight w:val="none"/>
              </w:rPr>
              <w:t>方案体系完备精细，深度契合医院高标准要求</w:t>
            </w:r>
            <w:r>
              <w:rPr>
                <w:rFonts w:hint="eastAsia" w:ascii="宋体" w:hAnsi="宋体" w:cs="宋体"/>
                <w:bCs/>
                <w:snapToGrid w:val="0"/>
                <w:color w:val="auto"/>
                <w:kern w:val="0"/>
                <w:szCs w:val="21"/>
                <w:highlight w:val="none"/>
                <w:lang w:eastAsia="zh-CN"/>
              </w:rPr>
              <w:t>，</w:t>
            </w:r>
            <w:r>
              <w:rPr>
                <w:rFonts w:hint="eastAsia" w:ascii="宋体" w:hAnsi="宋体" w:cs="宋体"/>
                <w:bCs/>
                <w:snapToGrid w:val="0"/>
                <w:color w:val="auto"/>
                <w:kern w:val="0"/>
                <w:szCs w:val="21"/>
                <w:highlight w:val="none"/>
                <w:lang w:val="en-US" w:eastAsia="zh-CN"/>
              </w:rPr>
              <w:t>优于采购需求</w:t>
            </w:r>
            <w:r>
              <w:rPr>
                <w:rFonts w:hint="eastAsia" w:ascii="宋体" w:hAnsi="宋体" w:cs="宋体"/>
                <w:bCs/>
                <w:snapToGrid w:val="0"/>
                <w:color w:val="auto"/>
                <w:kern w:val="0"/>
                <w:szCs w:val="21"/>
                <w:highlight w:val="none"/>
              </w:rPr>
              <w:t>。感染控制措施超出常规要求，能针对特殊科室设计差异化方案。洗涤用水和设备采用先进技术，洗涤剂定制化匹配。质量检测频率高于行业标准，并主动提供数据报告。RFID系统功能强大，能显著降低院方管理风险，提升后勤运营效率。整体方案体现出供应商深厚的专业能力和以客户为中心的服务理念。</w:t>
            </w:r>
          </w:p>
        </w:tc>
      </w:tr>
      <w:tr w14:paraId="4C440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674" w:type="dxa"/>
            <w:vMerge w:val="continue"/>
            <w:vAlign w:val="center"/>
          </w:tcPr>
          <w:p w14:paraId="203807E3">
            <w:pPr>
              <w:shd w:val="clear"/>
              <w:adjustRightInd w:val="0"/>
              <w:snapToGrid w:val="0"/>
              <w:spacing w:line="410" w:lineRule="exact"/>
              <w:jc w:val="center"/>
              <w:textAlignment w:val="baseline"/>
              <w:rPr>
                <w:rFonts w:hint="eastAsia" w:ascii="宋体" w:hAnsi="宋体" w:eastAsia="宋体" w:cs="宋体"/>
                <w:b/>
                <w:snapToGrid w:val="0"/>
                <w:color w:val="auto"/>
                <w:kern w:val="0"/>
                <w:szCs w:val="21"/>
                <w:highlight w:val="none"/>
                <w:lang w:eastAsia="zh-CN"/>
              </w:rPr>
            </w:pPr>
          </w:p>
        </w:tc>
        <w:tc>
          <w:tcPr>
            <w:tcW w:w="1079" w:type="dxa"/>
            <w:vMerge w:val="continue"/>
            <w:vAlign w:val="center"/>
          </w:tcPr>
          <w:p w14:paraId="4EA03BD7">
            <w:pPr>
              <w:keepNext w:val="0"/>
              <w:keepLines w:val="0"/>
              <w:pageBreakBefore w:val="0"/>
              <w:shd w:val="clear"/>
              <w:kinsoku/>
              <w:wordWrap/>
              <w:overflowPunct/>
              <w:topLinePunct w:val="0"/>
              <w:autoSpaceDE/>
              <w:autoSpaceDN/>
              <w:bidi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rPr>
            </w:pPr>
          </w:p>
        </w:tc>
        <w:tc>
          <w:tcPr>
            <w:tcW w:w="1153" w:type="dxa"/>
            <w:vAlign w:val="center"/>
          </w:tcPr>
          <w:p w14:paraId="67079A47">
            <w:pPr>
              <w:keepNext w:val="0"/>
              <w:keepLines w:val="0"/>
              <w:pageBreakBefore w:val="0"/>
              <w:shd w:val="clear" w:color="auto" w:fill="auto"/>
              <w:kinsoku/>
              <w:wordWrap/>
              <w:overflowPunct/>
              <w:topLinePunct w:val="0"/>
              <w:autoSpaceDE/>
              <w:autoSpaceDN/>
              <w:bidi w:val="0"/>
              <w:spacing w:line="360" w:lineRule="auto"/>
              <w:jc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cs="宋体"/>
                <w:bCs/>
                <w:snapToGrid w:val="0"/>
                <w:color w:val="auto"/>
                <w:kern w:val="0"/>
                <w:sz w:val="21"/>
                <w:szCs w:val="21"/>
                <w:highlight w:val="none"/>
                <w:lang w:val="en-US" w:eastAsia="zh-CN"/>
              </w:rPr>
              <w:t>二、</w:t>
            </w:r>
            <w:r>
              <w:rPr>
                <w:rFonts w:hint="eastAsia" w:ascii="宋体" w:hAnsi="宋体" w:eastAsia="宋体" w:cs="宋体"/>
                <w:bCs/>
                <w:snapToGrid w:val="0"/>
                <w:color w:val="auto"/>
                <w:kern w:val="0"/>
                <w:sz w:val="21"/>
                <w:szCs w:val="21"/>
                <w:highlight w:val="none"/>
              </w:rPr>
              <w:t>物流收送与院感防控方案</w:t>
            </w:r>
            <w:r>
              <w:rPr>
                <w:rFonts w:hint="eastAsia" w:ascii="宋体" w:hAnsi="宋体" w:cs="宋体"/>
                <w:bCs/>
                <w:snapToGrid w:val="0"/>
                <w:color w:val="auto"/>
                <w:kern w:val="0"/>
                <w:sz w:val="21"/>
                <w:szCs w:val="21"/>
                <w:highlight w:val="none"/>
                <w:lang w:val="en-US" w:eastAsia="zh-CN"/>
              </w:rPr>
              <w:t>分（满12分）</w:t>
            </w:r>
          </w:p>
        </w:tc>
        <w:tc>
          <w:tcPr>
            <w:tcW w:w="6654" w:type="dxa"/>
            <w:vAlign w:val="center"/>
          </w:tcPr>
          <w:p w14:paraId="021F2CD5">
            <w:pPr>
              <w:keepNext w:val="0"/>
              <w:keepLines w:val="0"/>
              <w:pageBreakBefore w:val="0"/>
              <w:shd w:val="clear" w:color="auto" w:fill="auto"/>
              <w:kinsoku/>
              <w:wordWrap/>
              <w:overflowPunct/>
              <w:topLinePunct w:val="0"/>
              <w:autoSpaceDE/>
              <w:autoSpaceDN/>
              <w:bidi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由评标小组对投标人的方案独立进行打分，方案内容至少包括：（1）收送车辆配置及专车专用管理措施；（2）洁污分离、院内收送路线及电梯使用规范；（3）驻场人员收送作业标准及院感防护流程；（4）交接清点、单据签收及RFID系统应用；（5）应急收送预案及节假日保障机制。</w:t>
            </w:r>
          </w:p>
          <w:p w14:paraId="3AA30E9A">
            <w:pPr>
              <w:keepNext w:val="0"/>
              <w:keepLines w:val="0"/>
              <w:pageBreakBefore w:val="0"/>
              <w:shd w:val="clear" w:color="auto" w:fill="auto"/>
              <w:kinsoku/>
              <w:wordWrap/>
              <w:overflowPunct/>
              <w:topLinePunct w:val="0"/>
              <w:autoSpaceDE/>
              <w:autoSpaceDN/>
              <w:bidi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达不到一档要求的，得0分。</w:t>
            </w:r>
          </w:p>
          <w:p w14:paraId="6A78588F">
            <w:pPr>
              <w:keepNext w:val="0"/>
              <w:keepLines w:val="0"/>
              <w:pageBreakBefore w:val="0"/>
              <w:shd w:val="clear" w:color="auto" w:fill="auto"/>
              <w:kinsoku/>
              <w:wordWrap/>
              <w:overflowPunct/>
              <w:topLinePunct w:val="0"/>
              <w:autoSpaceDE/>
              <w:autoSpaceDN/>
              <w:bidi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一档（</w:t>
            </w:r>
            <w:r>
              <w:rPr>
                <w:rFonts w:hint="eastAsia" w:ascii="宋体" w:hAnsi="宋体" w:cs="宋体"/>
                <w:bCs/>
                <w:snapToGrid w:val="0"/>
                <w:color w:val="auto"/>
                <w:kern w:val="0"/>
                <w:sz w:val="21"/>
                <w:szCs w:val="21"/>
                <w:highlight w:val="none"/>
                <w:lang w:val="en-US" w:eastAsia="zh-CN"/>
              </w:rPr>
              <w:t>3分</w:t>
            </w:r>
            <w:r>
              <w:rPr>
                <w:rFonts w:hint="eastAsia" w:ascii="宋体" w:hAnsi="宋体" w:eastAsia="宋体" w:cs="宋体"/>
                <w:bCs/>
                <w:snapToGrid w:val="0"/>
                <w:color w:val="auto"/>
                <w:kern w:val="0"/>
                <w:sz w:val="21"/>
                <w:szCs w:val="21"/>
                <w:highlight w:val="none"/>
              </w:rPr>
              <w:t>）：方案内容缺失，仅提供少数收送流程名称或空洞表述。未结合医院科室分布和感染控制要求，无具体车辆配置和专车专用措施。对洁污分离等无实质性内容，存在混用混装风险。驻场人员防护流程缺失，收送作业标准模糊。交接清点无具体方法，单据签收</w:t>
            </w:r>
            <w:r>
              <w:rPr>
                <w:rFonts w:hint="eastAsia" w:ascii="宋体" w:hAnsi="宋体" w:cs="宋体"/>
                <w:bCs/>
                <w:snapToGrid w:val="0"/>
                <w:color w:val="auto"/>
                <w:kern w:val="0"/>
                <w:sz w:val="21"/>
                <w:szCs w:val="21"/>
                <w:highlight w:val="none"/>
                <w:lang w:val="en-US" w:eastAsia="zh-CN"/>
              </w:rPr>
              <w:t>措施</w:t>
            </w:r>
            <w:r>
              <w:rPr>
                <w:rFonts w:hint="eastAsia" w:ascii="宋体" w:hAnsi="宋体" w:eastAsia="宋体" w:cs="宋体"/>
                <w:bCs/>
                <w:snapToGrid w:val="0"/>
                <w:color w:val="auto"/>
                <w:kern w:val="0"/>
                <w:sz w:val="21"/>
                <w:szCs w:val="21"/>
                <w:highlight w:val="none"/>
              </w:rPr>
              <w:t>不规范，未结合RFID系统。应急收送预案空白，节假日无保障机制。方案无法保障物流过程中的院感安全。</w:t>
            </w:r>
          </w:p>
          <w:p w14:paraId="614EEFEC">
            <w:pPr>
              <w:keepNext w:val="0"/>
              <w:keepLines w:val="0"/>
              <w:pageBreakBefore w:val="0"/>
              <w:shd w:val="clear" w:color="auto" w:fill="auto"/>
              <w:kinsoku/>
              <w:wordWrap/>
              <w:overflowPunct/>
              <w:topLinePunct w:val="0"/>
              <w:autoSpaceDE/>
              <w:autoSpaceDN/>
              <w:bidi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二档（</w:t>
            </w:r>
            <w:r>
              <w:rPr>
                <w:rFonts w:hint="eastAsia" w:ascii="宋体" w:hAnsi="宋体" w:cs="宋体"/>
                <w:bCs/>
                <w:snapToGrid w:val="0"/>
                <w:color w:val="auto"/>
                <w:kern w:val="0"/>
                <w:sz w:val="21"/>
                <w:szCs w:val="21"/>
                <w:highlight w:val="none"/>
                <w:lang w:val="en-US" w:eastAsia="zh-CN"/>
              </w:rPr>
              <w:t>6分</w:t>
            </w:r>
            <w:r>
              <w:rPr>
                <w:rFonts w:hint="eastAsia" w:ascii="宋体" w:hAnsi="宋体" w:eastAsia="宋体" w:cs="宋体"/>
                <w:bCs/>
                <w:snapToGrid w:val="0"/>
                <w:color w:val="auto"/>
                <w:kern w:val="0"/>
                <w:sz w:val="21"/>
                <w:szCs w:val="21"/>
                <w:highlight w:val="none"/>
              </w:rPr>
              <w:t>）：方案覆盖五项内容，但描述笼统，缺乏关键细节。有车辆配置原则但无具体数量、型号及消毒计划。洁污分离有提及但未明确区分标识和路线规划。驻场人员防护有基本要求但无具体步骤和频次。交接清点依赖手工单据，未充分发挥RFID作用。应急收送预案简单，仅提及必要时增加车辆，无具体响应时间和替代方案。整体方案可执行性不强，难以满足医院每日两收一送的严格时效要求。</w:t>
            </w:r>
          </w:p>
          <w:p w14:paraId="2B36E0AE">
            <w:pPr>
              <w:keepNext w:val="0"/>
              <w:keepLines w:val="0"/>
              <w:pageBreakBefore w:val="0"/>
              <w:shd w:val="clear" w:color="auto" w:fill="auto"/>
              <w:kinsoku/>
              <w:wordWrap/>
              <w:overflowPunct/>
              <w:topLinePunct w:val="0"/>
              <w:autoSpaceDE/>
              <w:autoSpaceDN/>
              <w:bidi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三档（</w:t>
            </w:r>
            <w:r>
              <w:rPr>
                <w:rFonts w:hint="eastAsia" w:ascii="宋体" w:hAnsi="宋体" w:cs="宋体"/>
                <w:bCs/>
                <w:snapToGrid w:val="0"/>
                <w:color w:val="auto"/>
                <w:kern w:val="0"/>
                <w:sz w:val="21"/>
                <w:szCs w:val="21"/>
                <w:highlight w:val="none"/>
                <w:lang w:val="en-US" w:eastAsia="zh-CN"/>
              </w:rPr>
              <w:t>9分</w:t>
            </w:r>
            <w:r>
              <w:rPr>
                <w:rFonts w:hint="eastAsia" w:ascii="宋体" w:hAnsi="宋体" w:eastAsia="宋体" w:cs="宋体"/>
                <w:bCs/>
                <w:snapToGrid w:val="0"/>
                <w:color w:val="auto"/>
                <w:kern w:val="0"/>
                <w:sz w:val="21"/>
                <w:szCs w:val="21"/>
                <w:highlight w:val="none"/>
              </w:rPr>
              <w:t>）：方案体系完整、内容详细。五项内容均有具体操作标准和流程参数。明确配置洁污分开的专用车辆，每日消毒记录可追溯。规划院内收送路线图，明确污物电梯和洁净电梯的使用规范，避免逆行和交叉。驻场人员着装统一，收送前后执行洗手和更换工作服，防护措施到位。交接清点采用RFID手持终端快速扫描，数据实时上传。应急收送预案含车辆故障、交通拥堵等情形，节假日安排值班人员和备用车辆。能有效保障物流及时性和感控安全。</w:t>
            </w:r>
          </w:p>
          <w:p w14:paraId="02F729DD">
            <w:pPr>
              <w:keepNext w:val="0"/>
              <w:keepLines w:val="0"/>
              <w:pageBreakBefore w:val="0"/>
              <w:shd w:val="clear" w:color="auto" w:fill="auto"/>
              <w:kinsoku/>
              <w:wordWrap/>
              <w:overflowPunct/>
              <w:topLinePunct w:val="0"/>
              <w:autoSpaceDE/>
              <w:autoSpaceDN/>
              <w:bidi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四档（</w:t>
            </w:r>
            <w:r>
              <w:rPr>
                <w:rFonts w:hint="eastAsia" w:ascii="宋体" w:hAnsi="宋体" w:cs="宋体"/>
                <w:bCs/>
                <w:snapToGrid w:val="0"/>
                <w:color w:val="auto"/>
                <w:kern w:val="0"/>
                <w:sz w:val="21"/>
                <w:szCs w:val="21"/>
                <w:highlight w:val="none"/>
                <w:lang w:val="en-US" w:eastAsia="zh-CN"/>
              </w:rPr>
              <w:t>12分</w:t>
            </w:r>
            <w:r>
              <w:rPr>
                <w:rFonts w:hint="eastAsia" w:ascii="宋体" w:hAnsi="宋体" w:eastAsia="宋体" w:cs="宋体"/>
                <w:bCs/>
                <w:snapToGrid w:val="0"/>
                <w:color w:val="auto"/>
                <w:kern w:val="0"/>
                <w:sz w:val="21"/>
                <w:szCs w:val="21"/>
                <w:highlight w:val="none"/>
              </w:rPr>
              <w:t>）：在满足三档的基础上，方案体系完备精细，深度契合医院高标准要求，优于采购需求。车辆采用封闭式专用车厢，配备GPS定位。洁污路线采用颜色分区和地标引导</w:t>
            </w:r>
            <w:r>
              <w:rPr>
                <w:rFonts w:hint="eastAsia" w:ascii="宋体" w:hAnsi="宋体" w:cs="宋体"/>
                <w:bCs/>
                <w:snapToGrid w:val="0"/>
                <w:color w:val="auto"/>
                <w:kern w:val="0"/>
                <w:sz w:val="21"/>
                <w:szCs w:val="21"/>
                <w:highlight w:val="none"/>
                <w:lang w:eastAsia="zh-CN"/>
              </w:rPr>
              <w:t>，</w:t>
            </w:r>
            <w:r>
              <w:rPr>
                <w:rFonts w:hint="eastAsia" w:ascii="宋体" w:hAnsi="宋体" w:eastAsia="宋体" w:cs="宋体"/>
                <w:bCs/>
                <w:snapToGrid w:val="0"/>
                <w:color w:val="auto"/>
                <w:kern w:val="0"/>
                <w:sz w:val="21"/>
                <w:szCs w:val="21"/>
                <w:highlight w:val="none"/>
              </w:rPr>
              <w:t>驻场人员采用分级防护标准，定期进行院感知识考核。交接清点实现无接触式RFID批量读取，异常情况即时预警。应急收送建立双重保障机制，承诺极端情况下快速调配到位。整体方案显著提升收送效率，降低交叉感染风险，提升临床科室满意度。</w:t>
            </w:r>
          </w:p>
        </w:tc>
      </w:tr>
      <w:tr w14:paraId="60FB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674" w:type="dxa"/>
            <w:vMerge w:val="continue"/>
            <w:vAlign w:val="center"/>
          </w:tcPr>
          <w:p w14:paraId="3BE1E63C">
            <w:pPr>
              <w:shd w:val="clear"/>
              <w:adjustRightInd w:val="0"/>
              <w:snapToGrid w:val="0"/>
              <w:spacing w:line="410" w:lineRule="exact"/>
              <w:jc w:val="center"/>
              <w:textAlignment w:val="baseline"/>
              <w:rPr>
                <w:rFonts w:hint="eastAsia" w:ascii="宋体" w:hAnsi="宋体" w:cs="宋体"/>
                <w:b/>
                <w:snapToGrid w:val="0"/>
                <w:color w:val="auto"/>
                <w:kern w:val="0"/>
                <w:szCs w:val="21"/>
                <w:highlight w:val="none"/>
              </w:rPr>
            </w:pPr>
          </w:p>
        </w:tc>
        <w:tc>
          <w:tcPr>
            <w:tcW w:w="1079" w:type="dxa"/>
            <w:vMerge w:val="continue"/>
            <w:vAlign w:val="center"/>
          </w:tcPr>
          <w:p w14:paraId="21C1D122">
            <w:pPr>
              <w:keepNext w:val="0"/>
              <w:keepLines w:val="0"/>
              <w:pageBreakBefore w:val="0"/>
              <w:shd w:val="clear"/>
              <w:kinsoku/>
              <w:wordWrap/>
              <w:overflowPunct/>
              <w:topLinePunct w:val="0"/>
              <w:autoSpaceDE/>
              <w:autoSpaceDN/>
              <w:bidi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rPr>
            </w:pPr>
          </w:p>
        </w:tc>
        <w:tc>
          <w:tcPr>
            <w:tcW w:w="1153" w:type="dxa"/>
            <w:vAlign w:val="center"/>
          </w:tcPr>
          <w:p w14:paraId="49B85ABB">
            <w:pPr>
              <w:keepNext w:val="0"/>
              <w:keepLines w:val="0"/>
              <w:pageBreakBefore w:val="0"/>
              <w:shd w:val="clear" w:color="auto" w:fill="auto"/>
              <w:kinsoku/>
              <w:wordWrap/>
              <w:overflowPunct/>
              <w:topLinePunct w:val="0"/>
              <w:autoSpaceDE/>
              <w:autoSpaceDN/>
              <w:bidi w:val="0"/>
              <w:spacing w:line="360" w:lineRule="auto"/>
              <w:jc w:val="center"/>
              <w:rPr>
                <w:rFonts w:hint="eastAsia" w:ascii="宋体" w:hAnsi="宋体" w:eastAsia="宋体" w:cs="宋体"/>
                <w:bCs/>
                <w:snapToGrid w:val="0"/>
                <w:color w:val="auto"/>
                <w:kern w:val="0"/>
                <w:sz w:val="21"/>
                <w:szCs w:val="21"/>
                <w:highlight w:val="none"/>
                <w:lang w:eastAsia="zh-CN"/>
              </w:rPr>
            </w:pPr>
            <w:r>
              <w:rPr>
                <w:rFonts w:hint="eastAsia" w:ascii="宋体" w:hAnsi="宋体" w:cs="宋体"/>
                <w:bCs/>
                <w:snapToGrid w:val="0"/>
                <w:color w:val="auto"/>
                <w:kern w:val="0"/>
                <w:sz w:val="21"/>
                <w:szCs w:val="21"/>
                <w:highlight w:val="none"/>
                <w:lang w:val="en-US" w:eastAsia="zh-CN"/>
              </w:rPr>
              <w:t>三、</w:t>
            </w:r>
            <w:r>
              <w:rPr>
                <w:rFonts w:hint="eastAsia" w:ascii="宋体" w:hAnsi="宋体" w:eastAsia="宋体" w:cs="宋体"/>
                <w:bCs/>
                <w:snapToGrid w:val="0"/>
                <w:color w:val="auto"/>
                <w:kern w:val="0"/>
                <w:sz w:val="21"/>
                <w:szCs w:val="21"/>
                <w:highlight w:val="none"/>
              </w:rPr>
              <w:t>服务团队配置与管理方案</w:t>
            </w:r>
            <w:r>
              <w:rPr>
                <w:rFonts w:hint="eastAsia" w:ascii="宋体" w:hAnsi="宋体" w:cs="宋体"/>
                <w:bCs/>
                <w:snapToGrid w:val="0"/>
                <w:color w:val="auto"/>
                <w:kern w:val="0"/>
                <w:sz w:val="21"/>
                <w:szCs w:val="21"/>
                <w:highlight w:val="none"/>
                <w:lang w:eastAsia="zh-CN"/>
              </w:rPr>
              <w:t>（</w:t>
            </w:r>
            <w:r>
              <w:rPr>
                <w:rFonts w:hint="eastAsia" w:ascii="宋体" w:hAnsi="宋体" w:cs="宋体"/>
                <w:bCs/>
                <w:snapToGrid w:val="0"/>
                <w:color w:val="auto"/>
                <w:kern w:val="0"/>
                <w:sz w:val="21"/>
                <w:szCs w:val="21"/>
                <w:highlight w:val="none"/>
                <w:lang w:val="en-US" w:eastAsia="zh-CN"/>
              </w:rPr>
              <w:t>满分12分</w:t>
            </w:r>
            <w:r>
              <w:rPr>
                <w:rFonts w:hint="eastAsia" w:ascii="宋体" w:hAnsi="宋体" w:cs="宋体"/>
                <w:bCs/>
                <w:snapToGrid w:val="0"/>
                <w:color w:val="auto"/>
                <w:kern w:val="0"/>
                <w:sz w:val="21"/>
                <w:szCs w:val="21"/>
                <w:highlight w:val="none"/>
                <w:lang w:eastAsia="zh-CN"/>
              </w:rPr>
              <w:t>）</w:t>
            </w:r>
          </w:p>
          <w:p w14:paraId="5425B660">
            <w:pPr>
              <w:keepNext w:val="0"/>
              <w:keepLines w:val="0"/>
              <w:pageBreakBefore w:val="0"/>
              <w:shd w:val="clear" w:color="auto" w:fill="auto"/>
              <w:kinsoku/>
              <w:wordWrap/>
              <w:overflowPunct/>
              <w:topLinePunct w:val="0"/>
              <w:autoSpaceDE/>
              <w:autoSpaceDN/>
              <w:bidi w:val="0"/>
              <w:spacing w:line="360" w:lineRule="auto"/>
              <w:jc w:val="center"/>
              <w:rPr>
                <w:rFonts w:hint="eastAsia" w:ascii="宋体" w:hAnsi="宋体" w:eastAsia="宋体" w:cs="宋体"/>
                <w:bCs/>
                <w:snapToGrid w:val="0"/>
                <w:color w:val="auto"/>
                <w:kern w:val="0"/>
                <w:sz w:val="21"/>
                <w:szCs w:val="21"/>
                <w:highlight w:val="none"/>
              </w:rPr>
            </w:pPr>
          </w:p>
        </w:tc>
        <w:tc>
          <w:tcPr>
            <w:tcW w:w="6654" w:type="dxa"/>
            <w:vAlign w:val="center"/>
          </w:tcPr>
          <w:p w14:paraId="4E7EDF56">
            <w:pPr>
              <w:keepNext w:val="0"/>
              <w:keepLines w:val="0"/>
              <w:pageBreakBefore w:val="0"/>
              <w:widowControl/>
              <w:suppressLineNumbers w:val="0"/>
              <w:shd w:val="clear" w:color="auto" w:fill="auto"/>
              <w:kinsoku/>
              <w:wordWrap/>
              <w:overflowPunct/>
              <w:topLinePunct w:val="0"/>
              <w:autoSpaceDE/>
              <w:autoSpaceDN/>
              <w:bidi w:val="0"/>
              <w:spacing w:line="360" w:lineRule="auto"/>
              <w:ind w:firstLine="420" w:firstLineChars="200"/>
              <w:jc w:val="left"/>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由评标小组对投标人的方案独立进行打分，方案内容至少包括：（1）项目组织架构及岗位职责设置；（2）驻场及工厂人员配置数量与排班计划；（3）人员招聘标准及岗前培训考核机制；（4）员工日常管理、绩效考核及激励措施；（5）员工社保缴纳承诺及劳动权益保障。</w:t>
            </w:r>
          </w:p>
          <w:p w14:paraId="79BA2382">
            <w:pPr>
              <w:keepNext w:val="0"/>
              <w:keepLines w:val="0"/>
              <w:pageBreakBefore w:val="0"/>
              <w:widowControl/>
              <w:suppressLineNumbers w:val="0"/>
              <w:shd w:val="clear" w:color="auto" w:fill="auto"/>
              <w:kinsoku/>
              <w:wordWrap/>
              <w:overflowPunct/>
              <w:topLinePunct w:val="0"/>
              <w:autoSpaceDE/>
              <w:autoSpaceDN/>
              <w:bidi w:val="0"/>
              <w:spacing w:line="360" w:lineRule="auto"/>
              <w:ind w:firstLine="420" w:firstLineChars="200"/>
              <w:jc w:val="left"/>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达不到一档要求的，得0分。</w:t>
            </w:r>
          </w:p>
          <w:p w14:paraId="75C185C0">
            <w:pPr>
              <w:keepNext w:val="0"/>
              <w:keepLines w:val="0"/>
              <w:pageBreakBefore w:val="0"/>
              <w:widowControl/>
              <w:suppressLineNumbers w:val="0"/>
              <w:shd w:val="clear" w:color="auto" w:fill="auto"/>
              <w:kinsoku/>
              <w:wordWrap/>
              <w:overflowPunct/>
              <w:topLinePunct w:val="0"/>
              <w:autoSpaceDE/>
              <w:autoSpaceDN/>
              <w:bidi w:val="0"/>
              <w:spacing w:line="360" w:lineRule="auto"/>
              <w:ind w:firstLine="420" w:firstLineChars="200"/>
              <w:jc w:val="left"/>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一档（</w:t>
            </w:r>
            <w:r>
              <w:rPr>
                <w:rFonts w:hint="eastAsia" w:ascii="宋体" w:hAnsi="宋体" w:cs="宋体"/>
                <w:bCs/>
                <w:snapToGrid w:val="0"/>
                <w:color w:val="auto"/>
                <w:kern w:val="0"/>
                <w:sz w:val="21"/>
                <w:szCs w:val="21"/>
                <w:highlight w:val="none"/>
                <w:lang w:val="en-US" w:eastAsia="zh-CN"/>
              </w:rPr>
              <w:t>3分</w:t>
            </w:r>
            <w:r>
              <w:rPr>
                <w:rFonts w:hint="eastAsia" w:ascii="宋体" w:hAnsi="宋体" w:eastAsia="宋体" w:cs="宋体"/>
                <w:bCs/>
                <w:snapToGrid w:val="0"/>
                <w:color w:val="auto"/>
                <w:kern w:val="0"/>
                <w:sz w:val="21"/>
                <w:szCs w:val="21"/>
                <w:highlight w:val="none"/>
              </w:rPr>
              <w:t>）：方案内容缺失，仅提供少数岗位名称或</w:t>
            </w:r>
            <w:r>
              <w:rPr>
                <w:rFonts w:hint="eastAsia" w:ascii="宋体" w:hAnsi="宋体" w:cs="宋体"/>
                <w:bCs/>
                <w:snapToGrid w:val="0"/>
                <w:color w:val="auto"/>
                <w:kern w:val="0"/>
                <w:sz w:val="21"/>
                <w:szCs w:val="21"/>
                <w:highlight w:val="none"/>
                <w:lang w:val="en-US" w:eastAsia="zh-CN"/>
              </w:rPr>
              <w:t>简要</w:t>
            </w:r>
            <w:r>
              <w:rPr>
                <w:rFonts w:hint="eastAsia" w:ascii="宋体" w:hAnsi="宋体" w:eastAsia="宋体" w:cs="宋体"/>
                <w:bCs/>
                <w:snapToGrid w:val="0"/>
                <w:color w:val="auto"/>
                <w:kern w:val="0"/>
                <w:sz w:val="21"/>
                <w:szCs w:val="21"/>
                <w:highlight w:val="none"/>
              </w:rPr>
              <w:t>表述。未结合医院规模及科室需求，无具体人员配置数量和排班计划。组织架构模糊，职责不清。招聘无标准，培训计划缺失或流于形式。日常管理无章可循，绩效考核和激励措施空白。对员工社保缴纳无明确承诺或存在规避表述。方案无法保证服务团队的稳定性和专业性。</w:t>
            </w:r>
          </w:p>
          <w:p w14:paraId="0D373A3C">
            <w:pPr>
              <w:keepNext w:val="0"/>
              <w:keepLines w:val="0"/>
              <w:pageBreakBefore w:val="0"/>
              <w:widowControl/>
              <w:suppressLineNumbers w:val="0"/>
              <w:shd w:val="clear" w:color="auto" w:fill="auto"/>
              <w:kinsoku/>
              <w:wordWrap/>
              <w:overflowPunct/>
              <w:topLinePunct w:val="0"/>
              <w:autoSpaceDE/>
              <w:autoSpaceDN/>
              <w:bidi w:val="0"/>
              <w:spacing w:line="360" w:lineRule="auto"/>
              <w:ind w:firstLine="420" w:firstLineChars="200"/>
              <w:jc w:val="left"/>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二档（</w:t>
            </w:r>
            <w:r>
              <w:rPr>
                <w:rFonts w:hint="eastAsia" w:ascii="宋体" w:hAnsi="宋体" w:cs="宋体"/>
                <w:bCs/>
                <w:snapToGrid w:val="0"/>
                <w:color w:val="auto"/>
                <w:kern w:val="0"/>
                <w:sz w:val="21"/>
                <w:szCs w:val="21"/>
                <w:highlight w:val="none"/>
                <w:lang w:val="en-US" w:eastAsia="zh-CN"/>
              </w:rPr>
              <w:t>6分</w:t>
            </w:r>
            <w:r>
              <w:rPr>
                <w:rFonts w:hint="eastAsia" w:ascii="宋体" w:hAnsi="宋体" w:eastAsia="宋体" w:cs="宋体"/>
                <w:bCs/>
                <w:snapToGrid w:val="0"/>
                <w:color w:val="auto"/>
                <w:kern w:val="0"/>
                <w:sz w:val="21"/>
                <w:szCs w:val="21"/>
                <w:highlight w:val="none"/>
              </w:rPr>
              <w:t>）：方案覆盖五项内容，但描述笼统，缺乏关键细节。有组织架构图但职责描述粗糙。人员配置有大致数量，但未区分驻场和工厂、未考虑科室分布。招聘标准简单，培训计划仅有时间安排无具体课程内容。绩效考核有提及但无量化指标，激励措施模糊。员工社保有承诺但未说明未缴纳人员的处置方式。整体方案可执行性不强，团队稳定性难以保障。</w:t>
            </w:r>
          </w:p>
          <w:p w14:paraId="7A99F5B2">
            <w:pPr>
              <w:keepNext w:val="0"/>
              <w:keepLines w:val="0"/>
              <w:pageBreakBefore w:val="0"/>
              <w:widowControl/>
              <w:suppressLineNumbers w:val="0"/>
              <w:shd w:val="clear" w:color="auto" w:fill="auto"/>
              <w:kinsoku/>
              <w:wordWrap/>
              <w:overflowPunct/>
              <w:topLinePunct w:val="0"/>
              <w:autoSpaceDE/>
              <w:autoSpaceDN/>
              <w:bidi w:val="0"/>
              <w:spacing w:line="360" w:lineRule="auto"/>
              <w:ind w:firstLine="420" w:firstLineChars="200"/>
              <w:jc w:val="left"/>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三档（</w:t>
            </w:r>
            <w:r>
              <w:rPr>
                <w:rFonts w:hint="eastAsia" w:ascii="宋体" w:hAnsi="宋体" w:cs="宋体"/>
                <w:bCs/>
                <w:snapToGrid w:val="0"/>
                <w:color w:val="auto"/>
                <w:kern w:val="0"/>
                <w:sz w:val="21"/>
                <w:szCs w:val="21"/>
                <w:highlight w:val="none"/>
                <w:lang w:val="en-US" w:eastAsia="zh-CN"/>
              </w:rPr>
              <w:t>9分</w:t>
            </w:r>
            <w:r>
              <w:rPr>
                <w:rFonts w:hint="eastAsia" w:ascii="宋体" w:hAnsi="宋体" w:eastAsia="宋体" w:cs="宋体"/>
                <w:bCs/>
                <w:snapToGrid w:val="0"/>
                <w:color w:val="auto"/>
                <w:kern w:val="0"/>
                <w:sz w:val="21"/>
                <w:szCs w:val="21"/>
                <w:highlight w:val="none"/>
              </w:rPr>
              <w:t>）：方案体系完整、内容详细。五项内容均有具体操作标准和流程参数。组织架构清晰，明确项目经理、收发组长、洗涤主管等岗位职责。人员配置数量充足，排班计划覆盖每日两收一送及节假日。招聘标准明确学历、经验、</w:t>
            </w:r>
            <w:r>
              <w:rPr>
                <w:rFonts w:hint="eastAsia" w:ascii="宋体" w:hAnsi="宋体" w:cs="宋体"/>
                <w:bCs/>
                <w:snapToGrid w:val="0"/>
                <w:color w:val="auto"/>
                <w:kern w:val="0"/>
                <w:sz w:val="21"/>
                <w:szCs w:val="21"/>
                <w:highlight w:val="none"/>
                <w:lang w:val="en-US" w:eastAsia="zh-CN"/>
              </w:rPr>
              <w:t>证件</w:t>
            </w:r>
            <w:r>
              <w:rPr>
                <w:rFonts w:hint="eastAsia" w:ascii="宋体" w:hAnsi="宋体" w:eastAsia="宋体" w:cs="宋体"/>
                <w:bCs/>
                <w:snapToGrid w:val="0"/>
                <w:color w:val="auto"/>
                <w:kern w:val="0"/>
                <w:sz w:val="21"/>
                <w:szCs w:val="21"/>
                <w:highlight w:val="none"/>
              </w:rPr>
              <w:t>等要求，岗前培训包含院感、操作规范等课程并组织考核。绩效考核与服务质量挂钩，激励措施包括绩效奖金等。员工社保缴纳承诺明确，能有效保障团队稳定运行。</w:t>
            </w:r>
          </w:p>
          <w:p w14:paraId="273FC3F7">
            <w:pPr>
              <w:keepNext w:val="0"/>
              <w:keepLines w:val="0"/>
              <w:pageBreakBefore w:val="0"/>
              <w:widowControl/>
              <w:suppressLineNumbers w:val="0"/>
              <w:shd w:val="clear" w:color="auto" w:fill="auto"/>
              <w:kinsoku/>
              <w:wordWrap/>
              <w:overflowPunct/>
              <w:topLinePunct w:val="0"/>
              <w:autoSpaceDE/>
              <w:autoSpaceDN/>
              <w:bidi w:val="0"/>
              <w:spacing w:line="360" w:lineRule="auto"/>
              <w:ind w:firstLine="420" w:firstLineChars="200"/>
              <w:jc w:val="left"/>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四档（</w:t>
            </w:r>
            <w:r>
              <w:rPr>
                <w:rFonts w:hint="eastAsia" w:ascii="宋体" w:hAnsi="宋体" w:cs="宋体"/>
                <w:bCs/>
                <w:snapToGrid w:val="0"/>
                <w:color w:val="auto"/>
                <w:kern w:val="0"/>
                <w:sz w:val="21"/>
                <w:szCs w:val="21"/>
                <w:highlight w:val="none"/>
                <w:lang w:val="en-US" w:eastAsia="zh-CN"/>
              </w:rPr>
              <w:t>12分</w:t>
            </w:r>
            <w:r>
              <w:rPr>
                <w:rFonts w:hint="eastAsia" w:ascii="宋体" w:hAnsi="宋体" w:eastAsia="宋体" w:cs="宋体"/>
                <w:bCs/>
                <w:snapToGrid w:val="0"/>
                <w:color w:val="auto"/>
                <w:kern w:val="0"/>
                <w:sz w:val="21"/>
                <w:szCs w:val="21"/>
                <w:highlight w:val="none"/>
              </w:rPr>
              <w:t>）：在满足三档的基础上，方案体系完备精细，深度契合医院高标准要求，优于采购需求。组织架构设置专职质控岗和安全督导岗，强化现场监督。人员配置</w:t>
            </w:r>
            <w:r>
              <w:rPr>
                <w:rFonts w:hint="eastAsia" w:ascii="宋体" w:hAnsi="宋体" w:cs="宋体"/>
                <w:bCs/>
                <w:snapToGrid w:val="0"/>
                <w:color w:val="auto"/>
                <w:kern w:val="0"/>
                <w:sz w:val="21"/>
                <w:szCs w:val="21"/>
                <w:highlight w:val="none"/>
                <w:lang w:val="en-US" w:eastAsia="zh-CN"/>
              </w:rPr>
              <w:t>具备</w:t>
            </w:r>
            <w:r>
              <w:rPr>
                <w:rFonts w:hint="eastAsia" w:ascii="宋体" w:hAnsi="宋体" w:eastAsia="宋体" w:cs="宋体"/>
                <w:bCs/>
                <w:snapToGrid w:val="0"/>
                <w:color w:val="auto"/>
                <w:kern w:val="0"/>
                <w:sz w:val="21"/>
                <w:szCs w:val="21"/>
                <w:highlight w:val="none"/>
              </w:rPr>
              <w:t>储备机制，确保人员请假时服务不中断。培训计划</w:t>
            </w:r>
            <w:r>
              <w:rPr>
                <w:rFonts w:hint="eastAsia" w:ascii="宋体" w:hAnsi="宋体" w:cs="宋体"/>
                <w:bCs/>
                <w:snapToGrid w:val="0"/>
                <w:color w:val="auto"/>
                <w:kern w:val="0"/>
                <w:sz w:val="21"/>
                <w:szCs w:val="21"/>
                <w:highlight w:val="none"/>
                <w:lang w:val="en-US" w:eastAsia="zh-CN"/>
              </w:rPr>
              <w:t>及</w:t>
            </w:r>
            <w:r>
              <w:rPr>
                <w:rFonts w:hint="eastAsia" w:ascii="宋体" w:hAnsi="宋体" w:eastAsia="宋体" w:cs="宋体"/>
                <w:bCs/>
                <w:snapToGrid w:val="0"/>
                <w:color w:val="auto"/>
                <w:kern w:val="0"/>
                <w:sz w:val="21"/>
                <w:szCs w:val="21"/>
                <w:highlight w:val="none"/>
              </w:rPr>
              <w:t>考核实行理论+实操双达标。绩效考核建立与院方满意度测评联动的奖惩机制，激励措施包括评优表彰、职业晋升通道等。员工社保缴纳及劳动权益保障措施全面，体现企业社会责任。整体方案展现供应商专业的人力资源管理能力，能提供长期稳定优质的服务团队。</w:t>
            </w:r>
          </w:p>
        </w:tc>
      </w:tr>
      <w:tr w14:paraId="0BD0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674" w:type="dxa"/>
            <w:vMerge w:val="continue"/>
            <w:vAlign w:val="center"/>
          </w:tcPr>
          <w:p w14:paraId="00BBC878">
            <w:pPr>
              <w:shd w:val="clear"/>
              <w:adjustRightInd w:val="0"/>
              <w:snapToGrid w:val="0"/>
              <w:spacing w:line="410" w:lineRule="exact"/>
              <w:jc w:val="center"/>
              <w:textAlignment w:val="baseline"/>
              <w:rPr>
                <w:rFonts w:hint="eastAsia" w:ascii="宋体" w:hAnsi="宋体" w:cs="宋体"/>
                <w:b/>
                <w:snapToGrid w:val="0"/>
                <w:color w:val="auto"/>
                <w:kern w:val="0"/>
                <w:szCs w:val="21"/>
                <w:highlight w:val="none"/>
              </w:rPr>
            </w:pPr>
          </w:p>
        </w:tc>
        <w:tc>
          <w:tcPr>
            <w:tcW w:w="1079" w:type="dxa"/>
            <w:vMerge w:val="continue"/>
            <w:vAlign w:val="center"/>
          </w:tcPr>
          <w:p w14:paraId="6D137570">
            <w:pPr>
              <w:keepNext w:val="0"/>
              <w:keepLines w:val="0"/>
              <w:pageBreakBefore w:val="0"/>
              <w:shd w:val="clear"/>
              <w:kinsoku/>
              <w:wordWrap/>
              <w:overflowPunct/>
              <w:topLinePunct w:val="0"/>
              <w:autoSpaceDE/>
              <w:autoSpaceDN/>
              <w:bidi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rPr>
            </w:pPr>
          </w:p>
        </w:tc>
        <w:tc>
          <w:tcPr>
            <w:tcW w:w="1153" w:type="dxa"/>
            <w:vAlign w:val="center"/>
          </w:tcPr>
          <w:p w14:paraId="40FED2FA">
            <w:pPr>
              <w:keepNext w:val="0"/>
              <w:keepLines w:val="0"/>
              <w:pageBreakBefore w:val="0"/>
              <w:shd w:val="clear" w:color="auto" w:fill="auto"/>
              <w:kinsoku/>
              <w:wordWrap/>
              <w:overflowPunct/>
              <w:topLinePunct w:val="0"/>
              <w:autoSpaceDE/>
              <w:autoSpaceDN/>
              <w:bidi w:val="0"/>
              <w:spacing w:line="360" w:lineRule="auto"/>
              <w:jc w:val="center"/>
              <w:rPr>
                <w:rFonts w:hint="eastAsia" w:ascii="宋体" w:hAnsi="宋体" w:eastAsia="宋体" w:cs="宋体"/>
                <w:bCs/>
                <w:snapToGrid w:val="0"/>
                <w:color w:val="auto"/>
                <w:kern w:val="0"/>
                <w:sz w:val="21"/>
                <w:szCs w:val="21"/>
                <w:highlight w:val="none"/>
              </w:rPr>
            </w:pPr>
            <w:r>
              <w:rPr>
                <w:rFonts w:hint="eastAsia" w:ascii="宋体" w:hAnsi="宋体" w:cs="宋体"/>
                <w:bCs/>
                <w:snapToGrid w:val="0"/>
                <w:color w:val="auto"/>
                <w:kern w:val="0"/>
                <w:sz w:val="21"/>
                <w:szCs w:val="21"/>
                <w:highlight w:val="none"/>
                <w:lang w:val="en-US" w:eastAsia="zh-CN"/>
              </w:rPr>
              <w:t>四、</w:t>
            </w:r>
            <w:r>
              <w:rPr>
                <w:rFonts w:hint="eastAsia" w:ascii="宋体" w:hAnsi="宋体" w:eastAsia="宋体" w:cs="宋体"/>
                <w:bCs/>
                <w:snapToGrid w:val="0"/>
                <w:color w:val="auto"/>
                <w:kern w:val="0"/>
                <w:sz w:val="21"/>
                <w:szCs w:val="21"/>
                <w:highlight w:val="none"/>
              </w:rPr>
              <w:t>应急保障与突发事件处理方案</w:t>
            </w:r>
            <w:r>
              <w:rPr>
                <w:rFonts w:hint="eastAsia" w:ascii="宋体" w:hAnsi="宋体" w:eastAsia="宋体" w:cs="宋体"/>
                <w:bCs/>
                <w:snapToGrid w:val="0"/>
                <w:color w:val="auto"/>
                <w:kern w:val="0"/>
                <w:sz w:val="21"/>
                <w:szCs w:val="21"/>
                <w:highlight w:val="none"/>
                <w:lang w:eastAsia="zh-CN"/>
              </w:rPr>
              <w:t>（</w:t>
            </w:r>
            <w:r>
              <w:rPr>
                <w:rFonts w:hint="eastAsia" w:ascii="宋体" w:hAnsi="宋体" w:eastAsia="宋体" w:cs="宋体"/>
                <w:bCs/>
                <w:snapToGrid w:val="0"/>
                <w:color w:val="auto"/>
                <w:kern w:val="0"/>
                <w:sz w:val="21"/>
                <w:szCs w:val="21"/>
                <w:highlight w:val="none"/>
                <w:lang w:val="en-US" w:eastAsia="zh-CN"/>
              </w:rPr>
              <w:t>满分12分</w:t>
            </w:r>
            <w:r>
              <w:rPr>
                <w:rFonts w:hint="eastAsia" w:ascii="宋体" w:hAnsi="宋体" w:eastAsia="宋体" w:cs="宋体"/>
                <w:bCs/>
                <w:snapToGrid w:val="0"/>
                <w:color w:val="auto"/>
                <w:kern w:val="0"/>
                <w:sz w:val="21"/>
                <w:szCs w:val="21"/>
                <w:highlight w:val="none"/>
                <w:lang w:eastAsia="zh-CN"/>
              </w:rPr>
              <w:t>）</w:t>
            </w:r>
          </w:p>
        </w:tc>
        <w:tc>
          <w:tcPr>
            <w:tcW w:w="6654" w:type="dxa"/>
            <w:vAlign w:val="center"/>
          </w:tcPr>
          <w:p w14:paraId="210589D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由评标小组对投标人的方案独立进行打分，方案内容至少包括：</w:t>
            </w:r>
          </w:p>
          <w:p w14:paraId="3BD0795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设备故障或水电中断时的生产保障措施；（2）收送车辆故障或交通堵塞时的物流应急方案；（3）突发公共卫生事件（如传染病暴发）的专项应对预案；（4）布草批量污染、丢失或损坏的处理及赔偿流程；（5）不可抗力因素（如自然灾害）的响应机制及补救措施。</w:t>
            </w:r>
          </w:p>
          <w:p w14:paraId="40701F8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val="en-US" w:eastAsia="zh-CN"/>
              </w:rPr>
              <w:t>达不到一档要求的，得0分。</w:t>
            </w:r>
          </w:p>
          <w:p w14:paraId="45A25EE8">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一档（</w:t>
            </w:r>
            <w:r>
              <w:rPr>
                <w:rFonts w:hint="eastAsia" w:ascii="宋体" w:hAnsi="宋体" w:cs="宋体"/>
                <w:bCs/>
                <w:snapToGrid w:val="0"/>
                <w:color w:val="auto"/>
                <w:kern w:val="0"/>
                <w:sz w:val="21"/>
                <w:szCs w:val="21"/>
                <w:highlight w:val="none"/>
                <w:lang w:val="en-US" w:eastAsia="zh-CN"/>
              </w:rPr>
              <w:t>3分</w:t>
            </w:r>
            <w:r>
              <w:rPr>
                <w:rFonts w:hint="eastAsia" w:ascii="宋体" w:hAnsi="宋体" w:eastAsia="宋体" w:cs="宋体"/>
                <w:bCs/>
                <w:snapToGrid w:val="0"/>
                <w:color w:val="auto"/>
                <w:kern w:val="0"/>
                <w:sz w:val="21"/>
                <w:szCs w:val="21"/>
                <w:highlight w:val="none"/>
              </w:rPr>
              <w:t>）：方案内容缺失，仅提供少数应急事项或空洞表述。未结合医院连续运行的特殊需求，无具体应急措施。设备故障或水电中断无替代方案。公共卫生事件应对空白，布草批量污染或丢失无处理流程，赔偿责任不明确。不可抗力因素仅简单提及，无补救措施。方案完全不具备应急响应能力。</w:t>
            </w:r>
          </w:p>
          <w:p w14:paraId="540190C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二档（</w:t>
            </w:r>
            <w:r>
              <w:rPr>
                <w:rFonts w:hint="eastAsia" w:ascii="宋体" w:hAnsi="宋体" w:cs="宋体"/>
                <w:bCs/>
                <w:snapToGrid w:val="0"/>
                <w:color w:val="auto"/>
                <w:kern w:val="0"/>
                <w:sz w:val="21"/>
                <w:szCs w:val="21"/>
                <w:highlight w:val="none"/>
                <w:lang w:val="en-US" w:eastAsia="zh-CN"/>
              </w:rPr>
              <w:t>6分</w:t>
            </w:r>
            <w:r>
              <w:rPr>
                <w:rFonts w:hint="eastAsia" w:ascii="宋体" w:hAnsi="宋体" w:eastAsia="宋体" w:cs="宋体"/>
                <w:bCs/>
                <w:snapToGrid w:val="0"/>
                <w:color w:val="auto"/>
                <w:kern w:val="0"/>
                <w:sz w:val="21"/>
                <w:szCs w:val="21"/>
                <w:highlight w:val="none"/>
              </w:rPr>
              <w:t>）：方案覆盖五项内容，但描述笼统，缺乏关键细节。设备故障有提及联系维修但无时限和备用方案。收送车辆故障有备用车表述但无具体数量或调配时间。公共卫生事件应对原则性表述，无升级防护和消毒强化措施。布草污染或丢失有处理意向但无赔偿标准和具体流程。不可抗力因素有响应提及但无补救方案。整体方案应急能力薄弱，难以保障医院布草供应的连续性。</w:t>
            </w:r>
          </w:p>
          <w:p w14:paraId="33A12F7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三档（</w:t>
            </w:r>
            <w:r>
              <w:rPr>
                <w:rFonts w:hint="eastAsia" w:ascii="宋体" w:hAnsi="宋体" w:cs="宋体"/>
                <w:bCs/>
                <w:snapToGrid w:val="0"/>
                <w:color w:val="auto"/>
                <w:kern w:val="0"/>
                <w:sz w:val="21"/>
                <w:szCs w:val="21"/>
                <w:highlight w:val="none"/>
                <w:lang w:val="en-US" w:eastAsia="zh-CN"/>
              </w:rPr>
              <w:t>9分</w:t>
            </w:r>
            <w:r>
              <w:rPr>
                <w:rFonts w:hint="eastAsia" w:ascii="宋体" w:hAnsi="宋体" w:eastAsia="宋体" w:cs="宋体"/>
                <w:bCs/>
                <w:snapToGrid w:val="0"/>
                <w:color w:val="auto"/>
                <w:kern w:val="0"/>
                <w:sz w:val="21"/>
                <w:szCs w:val="21"/>
                <w:highlight w:val="none"/>
              </w:rPr>
              <w:t>）：方案体系完整、内容详细。五项内容均有具体操作标准和流程参数。设备故障时承诺与本地同行建立应急协作关系；水电中断有备用发电机或水箱。收送车辆至少配置1台备用车，交通拥堵时灵活调整路线并向院方报备。公共卫生事件制定分级响应预案，按风险等级增加消毒频次和防护等级。布草批量污染或丢失明确赔偿标准和处理时限。不可抗力因素承诺及时做好补救工作，主动向院方报告并协调资源。能基本保障医院特殊情况下布草正常供应。</w:t>
            </w:r>
          </w:p>
          <w:p w14:paraId="7B46CC9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四档（</w:t>
            </w:r>
            <w:r>
              <w:rPr>
                <w:rFonts w:hint="eastAsia" w:ascii="宋体" w:hAnsi="宋体" w:cs="宋体"/>
                <w:bCs/>
                <w:snapToGrid w:val="0"/>
                <w:color w:val="auto"/>
                <w:kern w:val="0"/>
                <w:sz w:val="21"/>
                <w:szCs w:val="21"/>
                <w:highlight w:val="none"/>
                <w:lang w:val="en-US" w:eastAsia="zh-CN"/>
              </w:rPr>
              <w:t>12分</w:t>
            </w:r>
            <w:r>
              <w:rPr>
                <w:rFonts w:hint="eastAsia" w:ascii="宋体" w:hAnsi="宋体" w:eastAsia="宋体" w:cs="宋体"/>
                <w:bCs/>
                <w:snapToGrid w:val="0"/>
                <w:color w:val="auto"/>
                <w:kern w:val="0"/>
                <w:sz w:val="21"/>
                <w:szCs w:val="21"/>
                <w:highlight w:val="none"/>
              </w:rPr>
              <w:t>）：在满足三档的基础上，方案体系完备精细，深度契合医院高标准要求，优于采购需求。设备故障时</w:t>
            </w:r>
            <w:r>
              <w:rPr>
                <w:rFonts w:hint="eastAsia" w:ascii="宋体" w:hAnsi="宋体" w:cs="宋体"/>
                <w:bCs/>
                <w:snapToGrid w:val="0"/>
                <w:color w:val="auto"/>
                <w:kern w:val="0"/>
                <w:sz w:val="21"/>
                <w:szCs w:val="21"/>
                <w:highlight w:val="none"/>
                <w:lang w:val="en-US" w:eastAsia="zh-CN"/>
              </w:rPr>
              <w:t>有具体</w:t>
            </w:r>
            <w:r>
              <w:rPr>
                <w:rFonts w:hint="eastAsia" w:ascii="宋体" w:hAnsi="宋体" w:eastAsia="宋体" w:cs="宋体"/>
                <w:bCs/>
                <w:snapToGrid w:val="0"/>
                <w:color w:val="auto"/>
                <w:kern w:val="0"/>
                <w:sz w:val="21"/>
                <w:szCs w:val="21"/>
                <w:highlight w:val="none"/>
              </w:rPr>
              <w:t>承诺恢复生产</w:t>
            </w:r>
            <w:r>
              <w:rPr>
                <w:rFonts w:hint="eastAsia" w:ascii="宋体" w:hAnsi="宋体" w:cs="宋体"/>
                <w:bCs/>
                <w:snapToGrid w:val="0"/>
                <w:color w:val="auto"/>
                <w:kern w:val="0"/>
                <w:sz w:val="21"/>
                <w:szCs w:val="21"/>
                <w:highlight w:val="none"/>
                <w:lang w:val="en-US" w:eastAsia="zh-CN"/>
              </w:rPr>
              <w:t>时限</w:t>
            </w:r>
            <w:r>
              <w:rPr>
                <w:rFonts w:hint="eastAsia" w:ascii="宋体" w:hAnsi="宋体" w:eastAsia="宋体" w:cs="宋体"/>
                <w:bCs/>
                <w:snapToGrid w:val="0"/>
                <w:color w:val="auto"/>
                <w:kern w:val="0"/>
                <w:sz w:val="21"/>
                <w:szCs w:val="21"/>
                <w:highlight w:val="none"/>
              </w:rPr>
              <w:t>；配备小型备用洗涤设备。收送车辆采用双车双司机制度，并规划备用路线图。公共卫生事件预案与医院感控科联动，提前储备防护物资和消毒剂。布草管理建立保险机制或专项赔偿基金，承诺先赔付后处理纠纷。不可抗力因素设置24小时应急指挥小组。整体方案风险防控能力突出，能最大限度降低突发事件对医院运行的影响，体现供应商强大的资源调配能力和责任担当。</w:t>
            </w:r>
          </w:p>
        </w:tc>
      </w:tr>
      <w:tr w14:paraId="7264E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4" w:type="dxa"/>
            <w:vMerge w:val="restart"/>
            <w:vAlign w:val="center"/>
          </w:tcPr>
          <w:p w14:paraId="3A6076C3">
            <w:pPr>
              <w:pStyle w:val="8"/>
              <w:shd w:val="clear"/>
              <w:ind w:firstLine="0"/>
              <w:jc w:val="center"/>
              <w:rPr>
                <w:rFonts w:hint="eastAsia" w:ascii="宋体" w:hAnsi="宋体" w:cs="宋体"/>
                <w:bCs/>
                <w:snapToGrid w:val="0"/>
                <w:color w:val="auto"/>
                <w:kern w:val="0"/>
                <w:szCs w:val="21"/>
                <w:highlight w:val="none"/>
                <w:lang w:eastAsia="en-US"/>
              </w:rPr>
            </w:pPr>
            <w:r>
              <w:rPr>
                <w:rFonts w:hint="eastAsia" w:ascii="宋体" w:hAnsi="宋体" w:cs="宋体"/>
                <w:bCs/>
                <w:color w:val="auto"/>
                <w:szCs w:val="21"/>
                <w:highlight w:val="none"/>
              </w:rPr>
              <w:t>3</w:t>
            </w:r>
          </w:p>
        </w:tc>
        <w:tc>
          <w:tcPr>
            <w:tcW w:w="1079" w:type="dxa"/>
            <w:vMerge w:val="restart"/>
            <w:vAlign w:val="center"/>
          </w:tcPr>
          <w:p w14:paraId="75AF1F6D">
            <w:pPr>
              <w:pStyle w:val="8"/>
              <w:keepNext w:val="0"/>
              <w:keepLines w:val="0"/>
              <w:pageBreakBefore w:val="0"/>
              <w:shd w:val="clear"/>
              <w:kinsoku/>
              <w:wordWrap/>
              <w:overflowPunct/>
              <w:topLinePunct w:val="0"/>
              <w:autoSpaceDE/>
              <w:autoSpaceDN/>
              <w:bidi w:val="0"/>
              <w:spacing w:line="360" w:lineRule="auto"/>
              <w:ind w:firstLine="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商务分</w:t>
            </w:r>
          </w:p>
          <w:p w14:paraId="59610D5A">
            <w:pPr>
              <w:pStyle w:val="8"/>
              <w:keepNext w:val="0"/>
              <w:keepLines w:val="0"/>
              <w:pageBreakBefore w:val="0"/>
              <w:shd w:val="clear"/>
              <w:kinsoku/>
              <w:wordWrap/>
              <w:overflowPunct/>
              <w:topLinePunct w:val="0"/>
              <w:autoSpaceDE/>
              <w:autoSpaceDN/>
              <w:bidi w:val="0"/>
              <w:spacing w:line="360" w:lineRule="auto"/>
              <w:ind w:firstLine="0"/>
              <w:jc w:val="center"/>
              <w:rPr>
                <w:rFonts w:hint="eastAsia" w:ascii="宋体" w:hAnsi="宋体" w:eastAsia="宋体" w:cs="宋体"/>
                <w:bCs/>
                <w:snapToGrid w:val="0"/>
                <w:color w:val="auto"/>
                <w:kern w:val="0"/>
                <w:sz w:val="21"/>
                <w:szCs w:val="21"/>
                <w:highlight w:val="none"/>
                <w:lang w:eastAsia="en-US"/>
              </w:rPr>
            </w:pPr>
            <w:r>
              <w:rPr>
                <w:rFonts w:hint="eastAsia" w:ascii="宋体" w:hAnsi="宋体" w:eastAsia="宋体" w:cs="宋体"/>
                <w:bCs/>
                <w:color w:val="auto"/>
                <w:sz w:val="21"/>
                <w:szCs w:val="21"/>
                <w:highlight w:val="none"/>
              </w:rPr>
              <w:t>（满分</w:t>
            </w:r>
            <w:r>
              <w:rPr>
                <w:rFonts w:hint="eastAsia" w:ascii="宋体" w:hAnsi="宋体" w:cs="宋体"/>
                <w:bCs/>
                <w:color w:val="auto"/>
                <w:sz w:val="21"/>
                <w:szCs w:val="21"/>
                <w:highlight w:val="none"/>
                <w:lang w:val="en-US" w:eastAsia="zh-CN"/>
              </w:rPr>
              <w:t xml:space="preserve">22 </w:t>
            </w:r>
            <w:r>
              <w:rPr>
                <w:rFonts w:hint="eastAsia" w:ascii="宋体" w:hAnsi="宋体" w:eastAsia="宋体" w:cs="宋体"/>
                <w:bCs/>
                <w:color w:val="auto"/>
                <w:sz w:val="21"/>
                <w:szCs w:val="21"/>
                <w:highlight w:val="none"/>
              </w:rPr>
              <w:t>分）</w:t>
            </w:r>
          </w:p>
        </w:tc>
        <w:tc>
          <w:tcPr>
            <w:tcW w:w="1153" w:type="dxa"/>
            <w:tcMar>
              <w:left w:w="57" w:type="dxa"/>
              <w:right w:w="57" w:type="dxa"/>
            </w:tcMar>
            <w:vAlign w:val="center"/>
          </w:tcPr>
          <w:p w14:paraId="73D458CC">
            <w:pPr>
              <w:keepNext w:val="0"/>
              <w:keepLines w:val="0"/>
              <w:pageBreakBefore w:val="0"/>
              <w:shd w:val="clear" w:color="auto" w:fill="auto"/>
              <w:kinsoku/>
              <w:wordWrap/>
              <w:overflowPunct/>
              <w:topLinePunct w:val="0"/>
              <w:autoSpaceDE/>
              <w:autoSpaceDN/>
              <w:bidi w:val="0"/>
              <w:spacing w:line="360" w:lineRule="auto"/>
              <w:jc w:val="left"/>
              <w:rPr>
                <w:rFonts w:hint="eastAsia" w:ascii="宋体" w:hAnsi="宋体" w:eastAsia="宋体" w:cs="宋体"/>
                <w:bCs/>
                <w:snapToGrid w:val="0"/>
                <w:color w:val="auto"/>
                <w:kern w:val="0"/>
                <w:sz w:val="21"/>
                <w:szCs w:val="21"/>
                <w:highlight w:val="none"/>
              </w:rPr>
            </w:pPr>
            <w:r>
              <w:rPr>
                <w:rFonts w:hint="eastAsia" w:ascii="宋体" w:hAnsi="宋体" w:cs="宋体"/>
                <w:color w:val="auto"/>
                <w:sz w:val="21"/>
                <w:szCs w:val="21"/>
                <w:lang w:val="en-US" w:eastAsia="zh-CN"/>
              </w:rPr>
              <w:t>设备保障能力</w:t>
            </w:r>
            <w:r>
              <w:rPr>
                <w:rFonts w:hint="eastAsia" w:ascii="宋体" w:hAnsi="宋体" w:eastAsia="宋体" w:cs="宋体"/>
                <w:b w:val="0"/>
                <w:color w:val="auto"/>
                <w:kern w:val="2"/>
                <w:sz w:val="21"/>
                <w:szCs w:val="21"/>
                <w:lang w:val="en-US" w:eastAsia="zh-CN" w:bidi="ar-SA"/>
              </w:rPr>
              <w:t>（</w:t>
            </w:r>
            <w:r>
              <w:rPr>
                <w:rFonts w:hint="eastAsia" w:ascii="宋体" w:hAnsi="宋体" w:eastAsia="宋体" w:cs="宋体"/>
                <w:b w:val="0"/>
                <w:bCs w:val="0"/>
                <w:color w:val="auto"/>
                <w:sz w:val="21"/>
                <w:szCs w:val="21"/>
                <w:highlight w:val="none"/>
                <w:lang w:val="en-US" w:eastAsia="zh-CN"/>
              </w:rPr>
              <w:t>满分</w:t>
            </w:r>
            <w:r>
              <w:rPr>
                <w:rFonts w:hint="eastAsia" w:ascii="宋体" w:hAnsi="宋体" w:cs="宋体"/>
                <w:b w:val="0"/>
                <w:color w:val="auto"/>
                <w:kern w:val="2"/>
                <w:sz w:val="21"/>
                <w:szCs w:val="21"/>
                <w:lang w:val="en-US" w:eastAsia="zh-CN" w:bidi="ar-SA"/>
              </w:rPr>
              <w:t>9</w:t>
            </w:r>
            <w:r>
              <w:rPr>
                <w:rFonts w:hint="eastAsia" w:ascii="宋体" w:hAnsi="宋体" w:eastAsia="宋体" w:cs="宋体"/>
                <w:b w:val="0"/>
                <w:color w:val="auto"/>
                <w:kern w:val="2"/>
                <w:sz w:val="21"/>
                <w:szCs w:val="21"/>
                <w:lang w:val="en-US" w:eastAsia="zh-CN" w:bidi="ar-SA"/>
              </w:rPr>
              <w:t>分）</w:t>
            </w:r>
          </w:p>
        </w:tc>
        <w:tc>
          <w:tcPr>
            <w:tcW w:w="6654" w:type="dxa"/>
            <w:vAlign w:val="top"/>
          </w:tcPr>
          <w:p w14:paraId="3EB7482D">
            <w:pPr>
              <w:keepNext w:val="0"/>
              <w:keepLines w:val="0"/>
              <w:pageBreakBefore w:val="0"/>
              <w:shd w:val="clear" w:color="auto" w:fill="auto"/>
              <w:kinsoku/>
              <w:wordWrap/>
              <w:overflowPunct/>
              <w:topLinePunct w:val="0"/>
              <w:autoSpaceDE/>
              <w:autoSpaceDN/>
              <w:bidi w:val="0"/>
              <w:spacing w:line="360" w:lineRule="auto"/>
              <w:ind w:firstLine="420" w:firstLineChars="20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1、根据投标人拟投入本项目的洗涤、烘干、后整理等设备的配置齐全性、产能合理性进行综合打分。</w:t>
            </w:r>
          </w:p>
          <w:p w14:paraId="08DC9D3F">
            <w:pPr>
              <w:keepNext w:val="0"/>
              <w:keepLines w:val="0"/>
              <w:pageBreakBefore w:val="0"/>
              <w:shd w:val="clear" w:color="auto" w:fill="auto"/>
              <w:kinsoku/>
              <w:wordWrap/>
              <w:overflowPunct/>
              <w:topLinePunct w:val="0"/>
              <w:autoSpaceDE/>
              <w:autoSpaceDN/>
              <w:bidi w:val="0"/>
              <w:spacing w:line="360" w:lineRule="auto"/>
              <w:ind w:firstLine="420" w:firstLineChars="20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一档（0分）：设备配置简陋，仅有少量小型设备（单机容量普遍低于50kg），产能难以满足医院日常需求。</w:t>
            </w:r>
          </w:p>
          <w:p w14:paraId="651464FD">
            <w:pPr>
              <w:keepNext w:val="0"/>
              <w:keepLines w:val="0"/>
              <w:pageBreakBefore w:val="0"/>
              <w:shd w:val="clear" w:color="auto" w:fill="auto"/>
              <w:kinsoku/>
              <w:wordWrap/>
              <w:overflowPunct/>
              <w:topLinePunct w:val="0"/>
              <w:autoSpaceDE/>
              <w:autoSpaceDN/>
              <w:bidi w:val="0"/>
              <w:spacing w:line="360" w:lineRule="auto"/>
              <w:ind w:firstLine="420" w:firstLineChars="20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二档（2分）：设备配置基本合理，拥有常规尺寸的工业洗涤设备（如单机容量在50kg至100kg区间），能满足基本洗涤需求。</w:t>
            </w:r>
          </w:p>
          <w:p w14:paraId="0F4DE20C">
            <w:pPr>
              <w:keepNext w:val="0"/>
              <w:keepLines w:val="0"/>
              <w:pageBreakBefore w:val="0"/>
              <w:shd w:val="clear" w:color="auto" w:fill="auto"/>
              <w:kinsoku/>
              <w:wordWrap/>
              <w:overflowPunct/>
              <w:topLinePunct w:val="0"/>
              <w:autoSpaceDE/>
              <w:autoSpaceDN/>
              <w:bidi w:val="0"/>
              <w:spacing w:line="360" w:lineRule="auto"/>
              <w:ind w:firstLine="420" w:firstLineChars="20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三档（4分）：设备配置科学完备，拥有多台大型（如单机容量≥100kg）洗涤、烘干及配套设备，能高效、大批量地保障医院布草周转，且设备性能先进、维护良好。</w:t>
            </w:r>
          </w:p>
          <w:p w14:paraId="0278C847">
            <w:pPr>
              <w:keepNext w:val="0"/>
              <w:keepLines w:val="0"/>
              <w:pageBreakBefore w:val="0"/>
              <w:shd w:val="clear" w:color="auto" w:fill="auto"/>
              <w:kinsoku/>
              <w:wordWrap/>
              <w:overflowPunct/>
              <w:topLinePunct w:val="0"/>
              <w:autoSpaceDE/>
              <w:autoSpaceDN/>
              <w:bidi w:val="0"/>
              <w:spacing w:line="360" w:lineRule="auto"/>
              <w:ind w:firstLine="420" w:firstLineChars="200"/>
              <w:jc w:val="left"/>
              <w:rPr>
                <w:rFonts w:hint="eastAsia" w:ascii="宋体" w:hAnsi="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w:t>
            </w:r>
            <w:r>
              <w:rPr>
                <w:rFonts w:hint="eastAsia" w:ascii="宋体" w:hAnsi="宋体" w:cs="宋体"/>
                <w:color w:val="auto"/>
                <w:kern w:val="2"/>
                <w:sz w:val="21"/>
                <w:szCs w:val="21"/>
                <w:lang w:val="en-US" w:eastAsia="zh-CN" w:bidi="ar-SA"/>
              </w:rPr>
              <w:t>投标人配备有</w:t>
            </w:r>
            <w:r>
              <w:rPr>
                <w:rFonts w:hint="eastAsia" w:ascii="宋体" w:hAnsi="宋体" w:eastAsia="宋体" w:cs="宋体"/>
                <w:color w:val="auto"/>
                <w:kern w:val="2"/>
                <w:sz w:val="21"/>
                <w:szCs w:val="21"/>
                <w:lang w:val="en-US" w:eastAsia="zh-CN" w:bidi="ar-SA"/>
              </w:rPr>
              <w:t>隧道式（洗涤龙）或同等水平洗涤生产线（</w:t>
            </w:r>
            <w:r>
              <w:rPr>
                <w:rFonts w:hint="eastAsia" w:ascii="宋体" w:hAnsi="宋体" w:cs="宋体"/>
                <w:color w:val="auto"/>
                <w:kern w:val="2"/>
                <w:sz w:val="21"/>
                <w:szCs w:val="21"/>
                <w:lang w:val="en-US" w:eastAsia="zh-CN" w:bidi="ar-SA"/>
              </w:rPr>
              <w:t>至少包含</w:t>
            </w:r>
            <w:r>
              <w:rPr>
                <w:rFonts w:hint="eastAsia" w:ascii="宋体" w:hAnsi="宋体" w:eastAsia="宋体" w:cs="宋体"/>
                <w:color w:val="auto"/>
                <w:kern w:val="2"/>
                <w:sz w:val="21"/>
                <w:szCs w:val="21"/>
                <w:lang w:val="en-US" w:eastAsia="zh-CN" w:bidi="ar-SA"/>
              </w:rPr>
              <w:t>洗、传、脱、烘功能）的，每组得</w:t>
            </w:r>
            <w:r>
              <w:rPr>
                <w:rFonts w:hint="eastAsia" w:ascii="宋体" w:hAnsi="宋体" w:cs="宋体"/>
                <w:color w:val="auto"/>
                <w:kern w:val="2"/>
                <w:sz w:val="21"/>
                <w:szCs w:val="21"/>
                <w:lang w:val="en-US" w:eastAsia="zh-CN" w:bidi="ar-SA"/>
              </w:rPr>
              <w:t>1</w:t>
            </w:r>
            <w:r>
              <w:rPr>
                <w:rFonts w:hint="eastAsia" w:ascii="宋体" w:hAnsi="宋体" w:eastAsia="宋体" w:cs="宋体"/>
                <w:color w:val="auto"/>
                <w:kern w:val="2"/>
                <w:sz w:val="21"/>
                <w:szCs w:val="21"/>
                <w:lang w:val="en-US" w:eastAsia="zh-CN" w:bidi="ar-SA"/>
              </w:rPr>
              <w:t>分，满分</w:t>
            </w:r>
            <w:r>
              <w:rPr>
                <w:rFonts w:hint="eastAsia" w:ascii="宋体" w:hAnsi="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分</w:t>
            </w:r>
            <w:r>
              <w:rPr>
                <w:rFonts w:hint="eastAsia" w:ascii="宋体" w:hAnsi="宋体" w:cs="宋体"/>
                <w:color w:val="auto"/>
                <w:kern w:val="2"/>
                <w:sz w:val="21"/>
                <w:szCs w:val="21"/>
                <w:lang w:val="en-US" w:eastAsia="zh-CN" w:bidi="ar-SA"/>
              </w:rPr>
              <w:t>.</w:t>
            </w:r>
          </w:p>
          <w:p w14:paraId="634C2251">
            <w:pPr>
              <w:keepNext w:val="0"/>
              <w:keepLines w:val="0"/>
              <w:pageBreakBefore w:val="0"/>
              <w:shd w:val="clear" w:color="auto" w:fill="auto"/>
              <w:kinsoku/>
              <w:wordWrap/>
              <w:overflowPunct/>
              <w:topLinePunct w:val="0"/>
              <w:autoSpaceDE/>
              <w:autoSpaceDN/>
              <w:bidi w:val="0"/>
              <w:spacing w:line="360" w:lineRule="auto"/>
              <w:ind w:firstLine="420" w:firstLineChars="200"/>
              <w:jc w:val="left"/>
              <w:rPr>
                <w:rFonts w:hint="eastAsia" w:ascii="宋体" w:hAnsi="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3、投标人拟投入的运输车辆，每配备一台满足采购项目需求的车辆得0.5分，满分3分。</w:t>
            </w:r>
          </w:p>
          <w:p w14:paraId="5CE53378">
            <w:pPr>
              <w:keepNext w:val="0"/>
              <w:keepLines w:val="0"/>
              <w:pageBreakBefore w:val="0"/>
              <w:shd w:val="clear" w:color="auto" w:fill="auto"/>
              <w:kinsoku/>
              <w:wordWrap/>
              <w:overflowPunct/>
              <w:topLinePunct w:val="0"/>
              <w:autoSpaceDE/>
              <w:autoSpaceDN/>
              <w:bidi w:val="0"/>
              <w:spacing w:line="360" w:lineRule="auto"/>
              <w:ind w:firstLine="420" w:firstLineChars="200"/>
              <w:jc w:val="left"/>
              <w:rPr>
                <w:rFonts w:hint="default" w:ascii="宋体" w:hAnsi="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注：</w:t>
            </w:r>
            <w:r>
              <w:rPr>
                <w:rFonts w:hint="default" w:ascii="宋体" w:hAnsi="宋体" w:cs="宋体"/>
                <w:color w:val="auto"/>
                <w:kern w:val="2"/>
                <w:sz w:val="21"/>
                <w:szCs w:val="21"/>
                <w:lang w:val="en-US" w:eastAsia="zh-CN" w:bidi="ar-SA"/>
              </w:rPr>
              <w:t>以上</w:t>
            </w:r>
            <w:r>
              <w:rPr>
                <w:rFonts w:hint="eastAsia" w:ascii="宋体" w:hAnsi="宋体" w:cs="宋体"/>
                <w:color w:val="auto"/>
                <w:kern w:val="2"/>
                <w:sz w:val="21"/>
                <w:szCs w:val="21"/>
                <w:lang w:val="en-US" w:eastAsia="zh-CN" w:bidi="ar-SA"/>
              </w:rPr>
              <w:t>1-3项评分所述</w:t>
            </w:r>
            <w:r>
              <w:rPr>
                <w:rFonts w:hint="default" w:ascii="宋体" w:hAnsi="宋体" w:cs="宋体"/>
                <w:color w:val="auto"/>
                <w:kern w:val="2"/>
                <w:sz w:val="21"/>
                <w:szCs w:val="21"/>
                <w:lang w:val="en-US" w:eastAsia="zh-CN" w:bidi="ar-SA"/>
              </w:rPr>
              <w:t>设备</w:t>
            </w:r>
            <w:r>
              <w:rPr>
                <w:rFonts w:hint="eastAsia" w:ascii="宋体" w:hAnsi="宋体" w:cs="宋体"/>
                <w:color w:val="auto"/>
                <w:kern w:val="2"/>
                <w:sz w:val="21"/>
                <w:szCs w:val="21"/>
                <w:lang w:val="en-US" w:eastAsia="zh-CN" w:bidi="ar-SA"/>
              </w:rPr>
              <w:t>或车辆</w:t>
            </w:r>
            <w:r>
              <w:rPr>
                <w:rFonts w:hint="default" w:ascii="宋体" w:hAnsi="宋体" w:cs="宋体"/>
                <w:color w:val="auto"/>
                <w:kern w:val="2"/>
                <w:sz w:val="21"/>
                <w:szCs w:val="21"/>
                <w:lang w:val="en-US" w:eastAsia="zh-CN" w:bidi="ar-SA"/>
              </w:rPr>
              <w:t>需提供</w:t>
            </w:r>
            <w:r>
              <w:rPr>
                <w:rFonts w:hint="eastAsia" w:ascii="宋体" w:hAnsi="宋体" w:cs="宋体"/>
                <w:color w:val="auto"/>
                <w:kern w:val="2"/>
                <w:sz w:val="21"/>
                <w:szCs w:val="21"/>
                <w:lang w:val="en-US" w:eastAsia="zh-CN" w:bidi="ar-SA"/>
              </w:rPr>
              <w:t>有效证明材料复印件并加盖公章，否则不予计分，材料至少应包括：</w:t>
            </w:r>
          </w:p>
          <w:p w14:paraId="0B22B602">
            <w:pPr>
              <w:keepNext w:val="0"/>
              <w:keepLines w:val="0"/>
              <w:pageBreakBefore w:val="0"/>
              <w:numPr>
                <w:ilvl w:val="0"/>
                <w:numId w:val="8"/>
              </w:numPr>
              <w:shd w:val="clear" w:color="auto" w:fill="auto"/>
              <w:kinsoku/>
              <w:wordWrap/>
              <w:overflowPunct/>
              <w:topLinePunct w:val="0"/>
              <w:autoSpaceDE/>
              <w:autoSpaceDN/>
              <w:bidi w:val="0"/>
              <w:spacing w:line="360" w:lineRule="auto"/>
              <w:ind w:firstLine="420" w:firstLineChars="200"/>
              <w:jc w:val="left"/>
              <w:rPr>
                <w:rFonts w:hint="eastAsia" w:ascii="宋体" w:hAnsi="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设备（车辆）清单；</w:t>
            </w:r>
          </w:p>
          <w:p w14:paraId="19F68722">
            <w:pPr>
              <w:keepNext w:val="0"/>
              <w:keepLines w:val="0"/>
              <w:pageBreakBefore w:val="0"/>
              <w:numPr>
                <w:ilvl w:val="0"/>
                <w:numId w:val="8"/>
              </w:numPr>
              <w:shd w:val="clear" w:color="auto" w:fill="auto"/>
              <w:kinsoku/>
              <w:wordWrap/>
              <w:overflowPunct/>
              <w:topLinePunct w:val="0"/>
              <w:autoSpaceDE/>
              <w:autoSpaceDN/>
              <w:bidi w:val="0"/>
              <w:spacing w:line="360" w:lineRule="auto"/>
              <w:ind w:firstLine="420" w:firstLineChars="200"/>
              <w:jc w:val="left"/>
              <w:rPr>
                <w:rFonts w:hint="eastAsia" w:ascii="宋体" w:hAnsi="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现场实物照片；</w:t>
            </w:r>
          </w:p>
          <w:p w14:paraId="7E7BDA2C">
            <w:pPr>
              <w:keepNext w:val="0"/>
              <w:keepLines w:val="0"/>
              <w:pageBreakBefore w:val="0"/>
              <w:numPr>
                <w:ilvl w:val="0"/>
                <w:numId w:val="8"/>
              </w:numPr>
              <w:shd w:val="clear" w:color="auto" w:fill="auto"/>
              <w:kinsoku/>
              <w:wordWrap/>
              <w:overflowPunct/>
              <w:topLinePunct w:val="0"/>
              <w:autoSpaceDE/>
              <w:autoSpaceDN/>
              <w:bidi w:val="0"/>
              <w:spacing w:line="360" w:lineRule="auto"/>
              <w:ind w:firstLine="420" w:firstLineChars="200"/>
              <w:jc w:val="left"/>
              <w:rPr>
                <w:rFonts w:hint="default" w:ascii="宋体" w:hAnsi="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购置发票或租赁合同；</w:t>
            </w:r>
          </w:p>
          <w:p w14:paraId="41622FD9">
            <w:pPr>
              <w:keepNext w:val="0"/>
              <w:keepLines w:val="0"/>
              <w:pageBreakBefore w:val="0"/>
              <w:numPr>
                <w:ilvl w:val="0"/>
                <w:numId w:val="8"/>
              </w:numPr>
              <w:shd w:val="clear" w:color="auto" w:fill="auto"/>
              <w:kinsoku/>
              <w:wordWrap/>
              <w:overflowPunct/>
              <w:topLinePunct w:val="0"/>
              <w:autoSpaceDE/>
              <w:autoSpaceDN/>
              <w:bidi w:val="0"/>
              <w:spacing w:line="360" w:lineRule="auto"/>
              <w:ind w:firstLine="420" w:firstLineChars="200"/>
              <w:jc w:val="left"/>
              <w:rPr>
                <w:rFonts w:hint="default" w:ascii="宋体" w:hAnsi="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车辆还需提供行驶证、车辆保险证明。</w:t>
            </w:r>
          </w:p>
        </w:tc>
      </w:tr>
      <w:tr w14:paraId="0DEB4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dxa"/>
            <w:vMerge w:val="continue"/>
            <w:vAlign w:val="center"/>
          </w:tcPr>
          <w:p w14:paraId="6E4C9B8D">
            <w:pPr>
              <w:shd w:val="clear"/>
              <w:adjustRightInd w:val="0"/>
              <w:snapToGrid w:val="0"/>
              <w:spacing w:line="410" w:lineRule="exact"/>
              <w:jc w:val="center"/>
              <w:textAlignment w:val="baseline"/>
              <w:rPr>
                <w:rFonts w:hint="eastAsia" w:ascii="宋体" w:hAnsi="宋体" w:cs="宋体"/>
                <w:b/>
                <w:color w:val="auto"/>
                <w:szCs w:val="21"/>
                <w:highlight w:val="none"/>
              </w:rPr>
            </w:pPr>
          </w:p>
        </w:tc>
        <w:tc>
          <w:tcPr>
            <w:tcW w:w="1079" w:type="dxa"/>
            <w:vMerge w:val="continue"/>
            <w:vAlign w:val="center"/>
          </w:tcPr>
          <w:p w14:paraId="66457B49">
            <w:pPr>
              <w:keepNext w:val="0"/>
              <w:keepLines w:val="0"/>
              <w:pageBreakBefore w:val="0"/>
              <w:shd w:val="clear"/>
              <w:kinsoku/>
              <w:wordWrap/>
              <w:overflowPunct/>
              <w:topLinePunct w:val="0"/>
              <w:autoSpaceDE/>
              <w:autoSpaceDN/>
              <w:bidi w:val="0"/>
              <w:adjustRightInd w:val="0"/>
              <w:snapToGrid w:val="0"/>
              <w:spacing w:line="360" w:lineRule="auto"/>
              <w:jc w:val="center"/>
              <w:textAlignment w:val="baseline"/>
              <w:rPr>
                <w:rFonts w:hint="eastAsia" w:ascii="宋体" w:hAnsi="宋体" w:eastAsia="宋体" w:cs="宋体"/>
                <w:b/>
                <w:snapToGrid w:val="0"/>
                <w:color w:val="auto"/>
                <w:kern w:val="0"/>
                <w:sz w:val="21"/>
                <w:szCs w:val="21"/>
                <w:highlight w:val="none"/>
              </w:rPr>
            </w:pPr>
          </w:p>
        </w:tc>
        <w:tc>
          <w:tcPr>
            <w:tcW w:w="1153" w:type="dxa"/>
            <w:tcMar>
              <w:left w:w="57" w:type="dxa"/>
              <w:right w:w="57" w:type="dxa"/>
            </w:tcMar>
            <w:vAlign w:val="center"/>
          </w:tcPr>
          <w:p w14:paraId="6DF35F62">
            <w:pPr>
              <w:keepNext w:val="0"/>
              <w:keepLines w:val="0"/>
              <w:pageBreakBefore w:val="0"/>
              <w:shd w:val="clear" w:color="auto" w:fill="auto"/>
              <w:kinsoku/>
              <w:wordWrap/>
              <w:overflowPunct/>
              <w:topLinePunct w:val="0"/>
              <w:autoSpaceDE/>
              <w:autoSpaceDN/>
              <w:bidi w:val="0"/>
              <w:spacing w:line="360" w:lineRule="auto"/>
              <w:jc w:val="center"/>
              <w:rPr>
                <w:rFonts w:hint="eastAsia" w:ascii="宋体" w:hAnsi="宋体" w:eastAsia="宋体" w:cs="宋体"/>
                <w:bCs/>
                <w:snapToGrid w:val="0"/>
                <w:color w:val="auto"/>
                <w:kern w:val="0"/>
                <w:sz w:val="21"/>
                <w:szCs w:val="21"/>
                <w:highlight w:val="none"/>
              </w:rPr>
            </w:pPr>
            <w:r>
              <w:rPr>
                <w:rFonts w:hint="eastAsia" w:ascii="宋体" w:hAnsi="宋体" w:eastAsia="宋体" w:cs="宋体"/>
                <w:color w:val="auto"/>
                <w:sz w:val="21"/>
                <w:szCs w:val="21"/>
              </w:rPr>
              <w:t>信誉分</w:t>
            </w:r>
            <w:r>
              <w:rPr>
                <w:rFonts w:hint="eastAsia" w:ascii="宋体" w:hAnsi="宋体" w:eastAsia="宋体" w:cs="宋体"/>
                <w:b w:val="0"/>
                <w:color w:val="auto"/>
                <w:kern w:val="2"/>
                <w:sz w:val="21"/>
                <w:szCs w:val="21"/>
                <w:lang w:val="en-US" w:eastAsia="zh-CN" w:bidi="ar-SA"/>
              </w:rPr>
              <w:t>（</w:t>
            </w:r>
            <w:r>
              <w:rPr>
                <w:rFonts w:hint="eastAsia" w:ascii="宋体" w:hAnsi="宋体" w:eastAsia="宋体" w:cs="宋体"/>
                <w:b w:val="0"/>
                <w:bCs w:val="0"/>
                <w:color w:val="auto"/>
                <w:sz w:val="21"/>
                <w:szCs w:val="21"/>
                <w:highlight w:val="none"/>
                <w:lang w:val="en-US" w:eastAsia="zh-CN"/>
              </w:rPr>
              <w:t>满分</w:t>
            </w:r>
            <w:r>
              <w:rPr>
                <w:rFonts w:hint="eastAsia" w:ascii="宋体" w:hAnsi="宋体" w:cs="宋体"/>
                <w:b w:val="0"/>
                <w:color w:val="auto"/>
                <w:kern w:val="2"/>
                <w:sz w:val="21"/>
                <w:szCs w:val="21"/>
                <w:lang w:val="en-US" w:eastAsia="zh-CN" w:bidi="ar-SA"/>
              </w:rPr>
              <w:t>3</w:t>
            </w:r>
            <w:r>
              <w:rPr>
                <w:rFonts w:hint="eastAsia" w:ascii="宋体" w:hAnsi="宋体" w:eastAsia="宋体" w:cs="宋体"/>
                <w:b w:val="0"/>
                <w:color w:val="auto"/>
                <w:kern w:val="2"/>
                <w:sz w:val="21"/>
                <w:szCs w:val="21"/>
                <w:lang w:val="en-US" w:eastAsia="zh-CN" w:bidi="ar-SA"/>
              </w:rPr>
              <w:t>分）</w:t>
            </w:r>
          </w:p>
        </w:tc>
        <w:tc>
          <w:tcPr>
            <w:tcW w:w="6654" w:type="dxa"/>
            <w:vAlign w:val="top"/>
          </w:tcPr>
          <w:p w14:paraId="4767D01F">
            <w:pPr>
              <w:keepNext w:val="0"/>
              <w:keepLines w:val="0"/>
              <w:pageBreakBefore w:val="0"/>
              <w:numPr>
                <w:ilvl w:val="0"/>
                <w:numId w:val="0"/>
              </w:numPr>
              <w:shd w:val="clear" w:color="auto" w:fill="auto"/>
              <w:kinsoku/>
              <w:wordWrap/>
              <w:overflowPunct/>
              <w:topLinePunct w:val="0"/>
              <w:autoSpaceDE/>
              <w:autoSpaceDN/>
              <w:bidi w:val="0"/>
              <w:spacing w:line="360" w:lineRule="auto"/>
              <w:ind w:left="0" w:leftChars="0"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投标人</w:t>
            </w:r>
            <w:r>
              <w:rPr>
                <w:rFonts w:hint="eastAsia" w:ascii="宋体" w:hAnsi="宋体" w:eastAsia="宋体" w:cs="宋体"/>
                <w:color w:val="auto"/>
                <w:sz w:val="21"/>
                <w:szCs w:val="21"/>
                <w:highlight w:val="none"/>
                <w:lang w:val="en-US" w:eastAsia="zh-CN"/>
              </w:rPr>
              <w:t>获得质量管理体系认证、职业健康安全管理体系认证</w:t>
            </w:r>
            <w:r>
              <w:rPr>
                <w:rFonts w:hint="eastAsia" w:ascii="宋体" w:hAnsi="宋体" w:cs="宋体"/>
                <w:color w:val="auto"/>
                <w:sz w:val="21"/>
                <w:szCs w:val="21"/>
                <w:highlight w:val="none"/>
                <w:lang w:val="en-US" w:eastAsia="zh-CN"/>
              </w:rPr>
              <w:t>、环境管理体系认证证书的</w:t>
            </w:r>
            <w:r>
              <w:rPr>
                <w:rFonts w:hint="eastAsia" w:ascii="宋体" w:hAnsi="宋体" w:eastAsia="宋体" w:cs="宋体"/>
                <w:color w:val="auto"/>
                <w:sz w:val="21"/>
                <w:szCs w:val="21"/>
                <w:highlight w:val="none"/>
                <w:lang w:val="en-US" w:eastAsia="zh-CN"/>
              </w:rPr>
              <w:t>，每有1项得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分，满分</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分。</w:t>
            </w:r>
          </w:p>
          <w:p w14:paraId="7EE32083">
            <w:pPr>
              <w:keepNext w:val="0"/>
              <w:keepLines w:val="0"/>
              <w:pageBreakBefore w:val="0"/>
              <w:numPr>
                <w:ilvl w:val="0"/>
                <w:numId w:val="0"/>
              </w:numPr>
              <w:shd w:val="clear" w:color="auto" w:fill="auto"/>
              <w:kinsoku/>
              <w:wordWrap/>
              <w:overflowPunct/>
              <w:topLinePunct w:val="0"/>
              <w:autoSpaceDE/>
              <w:autoSpaceDN/>
              <w:bidi w:val="0"/>
              <w:spacing w:line="360" w:lineRule="auto"/>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注：得分须提供有效证书的复印件，并提供国家认证认可监督管理委员会官方网站平台www.cnca.gov.cn的证书查询记录截图。</w:t>
            </w:r>
          </w:p>
        </w:tc>
      </w:tr>
      <w:tr w14:paraId="19C8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dxa"/>
            <w:vMerge w:val="continue"/>
            <w:vAlign w:val="center"/>
          </w:tcPr>
          <w:p w14:paraId="73B80DF1">
            <w:pPr>
              <w:shd w:val="clear"/>
              <w:adjustRightInd w:val="0"/>
              <w:snapToGrid w:val="0"/>
              <w:spacing w:line="410" w:lineRule="exact"/>
              <w:jc w:val="center"/>
              <w:textAlignment w:val="baseline"/>
              <w:rPr>
                <w:rFonts w:hint="eastAsia" w:ascii="宋体" w:hAnsi="宋体" w:cs="宋体"/>
                <w:b/>
                <w:color w:val="auto"/>
                <w:szCs w:val="21"/>
                <w:highlight w:val="none"/>
              </w:rPr>
            </w:pPr>
          </w:p>
        </w:tc>
        <w:tc>
          <w:tcPr>
            <w:tcW w:w="1079" w:type="dxa"/>
            <w:vMerge w:val="continue"/>
            <w:vAlign w:val="center"/>
          </w:tcPr>
          <w:p w14:paraId="390D0226">
            <w:pPr>
              <w:keepNext w:val="0"/>
              <w:keepLines w:val="0"/>
              <w:pageBreakBefore w:val="0"/>
              <w:shd w:val="clear"/>
              <w:kinsoku/>
              <w:wordWrap/>
              <w:overflowPunct/>
              <w:topLinePunct w:val="0"/>
              <w:autoSpaceDE/>
              <w:autoSpaceDN/>
              <w:bidi w:val="0"/>
              <w:adjustRightInd w:val="0"/>
              <w:snapToGrid w:val="0"/>
              <w:spacing w:line="360" w:lineRule="auto"/>
              <w:jc w:val="center"/>
              <w:textAlignment w:val="baseline"/>
              <w:rPr>
                <w:rFonts w:hint="eastAsia" w:ascii="宋体" w:hAnsi="宋体" w:eastAsia="宋体" w:cs="宋体"/>
                <w:b/>
                <w:snapToGrid w:val="0"/>
                <w:color w:val="auto"/>
                <w:kern w:val="0"/>
                <w:sz w:val="21"/>
                <w:szCs w:val="21"/>
                <w:highlight w:val="none"/>
              </w:rPr>
            </w:pPr>
          </w:p>
        </w:tc>
        <w:tc>
          <w:tcPr>
            <w:tcW w:w="1153" w:type="dxa"/>
            <w:tcMar>
              <w:left w:w="57" w:type="dxa"/>
              <w:right w:w="57" w:type="dxa"/>
            </w:tcMar>
            <w:vAlign w:val="center"/>
          </w:tcPr>
          <w:p w14:paraId="2F324B0D">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业绩分</w:t>
            </w:r>
          </w:p>
          <w:p w14:paraId="505E96AE">
            <w:pPr>
              <w:keepNext w:val="0"/>
              <w:keepLines w:val="0"/>
              <w:pageBreakBefore w:val="0"/>
              <w:shd w:val="clear" w:color="auto" w:fill="auto"/>
              <w:kinsoku/>
              <w:wordWrap/>
              <w:overflowPunct/>
              <w:topLinePunct w:val="0"/>
              <w:autoSpaceDE/>
              <w:autoSpaceDN/>
              <w:bidi w:val="0"/>
              <w:spacing w:line="360" w:lineRule="auto"/>
              <w:jc w:val="center"/>
              <w:rPr>
                <w:rFonts w:hint="eastAsia" w:ascii="宋体" w:hAnsi="宋体" w:eastAsia="宋体" w:cs="宋体"/>
                <w:bCs/>
                <w:snapToGrid w:val="0"/>
                <w:color w:val="auto"/>
                <w:kern w:val="0"/>
                <w:sz w:val="21"/>
                <w:szCs w:val="21"/>
                <w:highlight w:val="none"/>
              </w:rPr>
            </w:pPr>
            <w:r>
              <w:rPr>
                <w:rFonts w:hint="eastAsia" w:ascii="宋体" w:hAnsi="宋体" w:eastAsia="宋体" w:cs="宋体"/>
                <w:b w:val="0"/>
                <w:color w:val="auto"/>
                <w:kern w:val="2"/>
                <w:sz w:val="21"/>
                <w:szCs w:val="21"/>
                <w:lang w:val="en-US" w:eastAsia="zh-CN" w:bidi="ar-SA"/>
              </w:rPr>
              <w:t>（</w:t>
            </w:r>
            <w:r>
              <w:rPr>
                <w:rFonts w:hint="eastAsia" w:ascii="宋体" w:hAnsi="宋体" w:eastAsia="宋体" w:cs="宋体"/>
                <w:b w:val="0"/>
                <w:bCs w:val="0"/>
                <w:color w:val="auto"/>
                <w:sz w:val="21"/>
                <w:szCs w:val="21"/>
                <w:highlight w:val="none"/>
                <w:lang w:val="en-US" w:eastAsia="zh-CN"/>
              </w:rPr>
              <w:t>满分</w:t>
            </w:r>
            <w:r>
              <w:rPr>
                <w:rFonts w:hint="eastAsia" w:ascii="宋体" w:hAnsi="宋体" w:cs="宋体"/>
                <w:b w:val="0"/>
                <w:color w:val="auto"/>
                <w:kern w:val="2"/>
                <w:sz w:val="21"/>
                <w:szCs w:val="21"/>
                <w:lang w:val="en-US" w:eastAsia="zh-CN" w:bidi="ar-SA"/>
              </w:rPr>
              <w:t>10</w:t>
            </w:r>
            <w:r>
              <w:rPr>
                <w:rFonts w:hint="eastAsia" w:ascii="宋体" w:hAnsi="宋体" w:eastAsia="宋体" w:cs="宋体"/>
                <w:b w:val="0"/>
                <w:color w:val="auto"/>
                <w:kern w:val="2"/>
                <w:sz w:val="21"/>
                <w:szCs w:val="21"/>
                <w:lang w:val="en-US" w:eastAsia="zh-CN" w:bidi="ar-SA"/>
              </w:rPr>
              <w:t>分）</w:t>
            </w:r>
          </w:p>
        </w:tc>
        <w:tc>
          <w:tcPr>
            <w:tcW w:w="6654" w:type="dxa"/>
            <w:vAlign w:val="top"/>
          </w:tcPr>
          <w:p w14:paraId="5FEC31CE">
            <w:pPr>
              <w:keepNext w:val="0"/>
              <w:keepLines w:val="0"/>
              <w:pageBreakBefore w:val="0"/>
              <w:shd w:val="clear" w:color="auto" w:fill="auto"/>
              <w:kinsoku/>
              <w:wordWrap/>
              <w:overflowPunct/>
              <w:topLinePunct w:val="0"/>
              <w:autoSpaceDE/>
              <w:autoSpaceDN/>
              <w:bidi w:val="0"/>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投标人自202</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月1日</w:t>
            </w:r>
            <w:r>
              <w:rPr>
                <w:rFonts w:hint="eastAsia" w:ascii="宋体" w:hAnsi="宋体" w:cs="宋体"/>
                <w:color w:val="auto"/>
                <w:sz w:val="21"/>
                <w:szCs w:val="21"/>
                <w:lang w:val="en-US" w:eastAsia="zh-CN"/>
              </w:rPr>
              <w:t>以来具有同类项目业绩的</w:t>
            </w:r>
            <w:r>
              <w:rPr>
                <w:rFonts w:hint="eastAsia" w:ascii="宋体" w:hAnsi="宋体" w:cs="宋体"/>
                <w:color w:val="auto"/>
                <w:sz w:val="21"/>
                <w:szCs w:val="21"/>
                <w:lang w:eastAsia="zh-CN"/>
              </w:rPr>
              <w:t>，</w:t>
            </w:r>
            <w:r>
              <w:rPr>
                <w:rFonts w:hint="eastAsia" w:ascii="宋体" w:hAnsi="宋体" w:eastAsia="宋体" w:cs="宋体"/>
                <w:color w:val="auto"/>
                <w:sz w:val="21"/>
                <w:szCs w:val="21"/>
              </w:rPr>
              <w:t>每</w:t>
            </w:r>
            <w:r>
              <w:rPr>
                <w:rFonts w:hint="eastAsia" w:ascii="宋体" w:hAnsi="宋体" w:cs="宋体"/>
                <w:color w:val="auto"/>
                <w:sz w:val="21"/>
                <w:szCs w:val="21"/>
                <w:lang w:val="en-US" w:eastAsia="zh-CN"/>
              </w:rPr>
              <w:t>有1</w:t>
            </w:r>
            <w:r>
              <w:rPr>
                <w:rFonts w:hint="eastAsia" w:ascii="宋体" w:hAnsi="宋体" w:eastAsia="宋体" w:cs="宋体"/>
                <w:color w:val="auto"/>
                <w:sz w:val="21"/>
                <w:szCs w:val="21"/>
              </w:rPr>
              <w:t>项</w:t>
            </w:r>
            <w:r>
              <w:rPr>
                <w:rFonts w:hint="eastAsia" w:ascii="宋体" w:hAnsi="宋体" w:cs="宋体"/>
                <w:color w:val="auto"/>
                <w:sz w:val="21"/>
                <w:szCs w:val="21"/>
                <w:lang w:val="en-US" w:eastAsia="zh-CN"/>
              </w:rPr>
              <w:t>业绩</w:t>
            </w:r>
            <w:r>
              <w:rPr>
                <w:rFonts w:hint="eastAsia" w:ascii="宋体" w:hAnsi="宋体" w:eastAsia="宋体" w:cs="宋体"/>
                <w:color w:val="auto"/>
                <w:sz w:val="21"/>
                <w:szCs w:val="21"/>
              </w:rPr>
              <w:t>得</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分，满分</w:t>
            </w:r>
            <w:r>
              <w:rPr>
                <w:rFonts w:hint="eastAsia" w:ascii="宋体" w:hAnsi="宋体" w:cs="宋体"/>
                <w:color w:val="auto"/>
                <w:sz w:val="21"/>
                <w:szCs w:val="21"/>
                <w:lang w:val="en-US" w:eastAsia="zh-CN"/>
              </w:rPr>
              <w:t>10</w:t>
            </w:r>
            <w:r>
              <w:rPr>
                <w:rFonts w:hint="eastAsia" w:ascii="宋体" w:hAnsi="宋体" w:eastAsia="宋体" w:cs="宋体"/>
                <w:color w:val="auto"/>
                <w:sz w:val="21"/>
                <w:szCs w:val="21"/>
              </w:rPr>
              <w:t>分。</w:t>
            </w:r>
          </w:p>
          <w:p w14:paraId="3A77662E">
            <w:pPr>
              <w:keepNext w:val="0"/>
              <w:keepLines w:val="0"/>
              <w:pageBreakBefore w:val="0"/>
              <w:shd w:val="clear" w:color="auto" w:fill="auto"/>
              <w:kinsoku/>
              <w:wordWrap/>
              <w:overflowPunct/>
              <w:topLinePunct w:val="0"/>
              <w:autoSpaceDE/>
              <w:autoSpaceDN/>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rPr>
              <w:t>[以合同或者中标（成交）通知书复印件为准，并加盖供应商电子签章</w:t>
            </w:r>
            <w:r>
              <w:rPr>
                <w:rFonts w:hint="eastAsia" w:ascii="宋体" w:hAnsi="宋体" w:eastAsia="宋体" w:cs="宋体"/>
                <w:color w:val="auto"/>
                <w:sz w:val="21"/>
                <w:szCs w:val="21"/>
                <w:lang w:eastAsia="zh-CN"/>
              </w:rPr>
              <w:t>；业绩证明材料需能清晰反映服务内容，否则不予计分。</w:t>
            </w:r>
            <w:r>
              <w:rPr>
                <w:rFonts w:hint="eastAsia" w:ascii="宋体" w:hAnsi="宋体" w:eastAsia="宋体" w:cs="宋体"/>
                <w:color w:val="auto"/>
                <w:sz w:val="21"/>
                <w:szCs w:val="21"/>
              </w:rPr>
              <w:t>]</w:t>
            </w:r>
          </w:p>
        </w:tc>
      </w:tr>
      <w:tr w14:paraId="21F9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0" w:type="dxa"/>
            <w:gridSpan w:val="4"/>
            <w:vAlign w:val="center"/>
          </w:tcPr>
          <w:p w14:paraId="49D29C60">
            <w:pPr>
              <w:shd w:val="clear"/>
              <w:adjustRightInd w:val="0"/>
              <w:snapToGrid w:val="0"/>
              <w:spacing w:line="410" w:lineRule="exact"/>
              <w:ind w:firstLine="420"/>
              <w:jc w:val="left"/>
              <w:textAlignment w:val="baseline"/>
              <w:rPr>
                <w:rFonts w:hint="eastAsia" w:ascii="宋体" w:hAnsi="宋体" w:cs="宋体"/>
                <w:bCs/>
                <w:snapToGrid w:val="0"/>
                <w:color w:val="auto"/>
                <w:kern w:val="0"/>
                <w:szCs w:val="21"/>
                <w:highlight w:val="none"/>
                <w:lang w:eastAsia="en-US"/>
              </w:rPr>
            </w:pPr>
            <w:r>
              <w:rPr>
                <w:rFonts w:hint="eastAsia" w:ascii="宋体" w:hAnsi="宋体" w:cs="宋体"/>
                <w:b/>
                <w:bCs/>
                <w:snapToGrid w:val="0"/>
                <w:color w:val="auto"/>
                <w:kern w:val="0"/>
                <w:szCs w:val="21"/>
                <w:highlight w:val="none"/>
                <w:lang w:eastAsia="en-US"/>
              </w:rPr>
              <w:t xml:space="preserve">总得分=1+2+3 </w:t>
            </w:r>
            <w:r>
              <w:rPr>
                <w:rFonts w:hint="eastAsia" w:ascii="宋体" w:hAnsi="宋体" w:cs="宋体"/>
                <w:b/>
                <w:snapToGrid w:val="0"/>
                <w:color w:val="auto"/>
                <w:kern w:val="0"/>
                <w:szCs w:val="21"/>
                <w:highlight w:val="none"/>
                <w:lang w:eastAsia="en-US"/>
              </w:rPr>
              <w:t xml:space="preserve">                                                        总分值：100分</w:t>
            </w:r>
          </w:p>
        </w:tc>
      </w:tr>
    </w:tbl>
    <w:p w14:paraId="5C12A99C">
      <w:pPr>
        <w:shd w:val="clear"/>
        <w:rPr>
          <w:color w:val="auto"/>
          <w:highlight w:val="none"/>
        </w:rPr>
      </w:pPr>
    </w:p>
    <w:p w14:paraId="3312FC98">
      <w:pPr>
        <w:pStyle w:val="26"/>
        <w:shd w:val="clear"/>
        <w:spacing w:line="360" w:lineRule="auto"/>
        <w:ind w:firstLine="420"/>
        <w:rPr>
          <w:rFonts w:hint="eastAsia" w:hAnsi="宋体"/>
          <w:bCs/>
          <w:color w:val="auto"/>
          <w:sz w:val="21"/>
          <w:highlight w:val="none"/>
        </w:rPr>
      </w:pPr>
      <w:r>
        <w:rPr>
          <w:rFonts w:hint="eastAsia" w:hAnsi="宋体"/>
          <w:bCs/>
          <w:color w:val="auto"/>
          <w:sz w:val="21"/>
          <w:highlight w:val="none"/>
        </w:rPr>
        <w:t>注：计分方法按四舍五入取至百分位</w:t>
      </w:r>
    </w:p>
    <w:p w14:paraId="56C0DE1C">
      <w:pPr>
        <w:pStyle w:val="5"/>
        <w:keepNext w:val="0"/>
        <w:keepLines w:val="0"/>
        <w:shd w:val="clear"/>
        <w:jc w:val="center"/>
        <w:rPr>
          <w:color w:val="auto"/>
          <w:sz w:val="30"/>
          <w:szCs w:val="30"/>
          <w:highlight w:val="none"/>
        </w:rPr>
      </w:pPr>
      <w:r>
        <w:rPr>
          <w:color w:val="auto"/>
          <w:highlight w:val="none"/>
        </w:rPr>
        <w:br w:type="page"/>
      </w:r>
      <w:r>
        <w:rPr>
          <w:rFonts w:hint="eastAsia"/>
          <w:color w:val="auto"/>
          <w:sz w:val="30"/>
          <w:szCs w:val="30"/>
          <w:highlight w:val="none"/>
        </w:rPr>
        <w:t>四、中标候选人推荐原则</w:t>
      </w:r>
    </w:p>
    <w:p w14:paraId="49C9C5E5">
      <w:pPr>
        <w:pStyle w:val="26"/>
        <w:shd w:val="clear"/>
        <w:spacing w:line="360" w:lineRule="auto"/>
        <w:contextualSpacing/>
        <w:rPr>
          <w:rFonts w:hint="eastAsia" w:hAnsi="宋体"/>
          <w:b/>
          <w:bCs/>
          <w:color w:val="auto"/>
          <w:sz w:val="24"/>
          <w:szCs w:val="24"/>
          <w:highlight w:val="none"/>
        </w:rPr>
      </w:pPr>
      <w:r>
        <w:rPr>
          <w:rFonts w:hint="eastAsia" w:hAnsi="宋体"/>
          <w:b/>
          <w:bCs/>
          <w:color w:val="auto"/>
          <w:sz w:val="24"/>
          <w:szCs w:val="24"/>
          <w:highlight w:val="none"/>
        </w:rPr>
        <w:t>（一）综合评分法</w:t>
      </w:r>
    </w:p>
    <w:p w14:paraId="4B140516">
      <w:pPr>
        <w:shd w:val="clear"/>
        <w:spacing w:line="360" w:lineRule="auto"/>
        <w:rPr>
          <w:color w:val="auto"/>
          <w:highlight w:val="none"/>
        </w:rPr>
      </w:pPr>
      <w:r>
        <w:rPr>
          <w:rFonts w:hint="eastAsia" w:hAnsi="宋体"/>
          <w:color w:val="auto"/>
          <w:highlight w:val="none"/>
        </w:rPr>
        <w:t>评标委员会将根据总得分由高到低排列次序并推荐中标候选人。总得分得分相同的，以投标报价由低到高顺序排列。总得分相同且投标报价相同的，</w:t>
      </w:r>
      <w:r>
        <w:rPr>
          <w:rFonts w:hint="eastAsia"/>
          <w:color w:val="auto"/>
          <w:highlight w:val="none"/>
          <w:lang w:val="en-GB"/>
        </w:rPr>
        <w:t>依次序分别以投标人</w:t>
      </w:r>
      <w:r>
        <w:rPr>
          <w:rFonts w:hint="eastAsia"/>
          <w:color w:val="auto"/>
          <w:highlight w:val="none"/>
        </w:rPr>
        <w:t>项目技术分</w:t>
      </w:r>
      <w:r>
        <w:rPr>
          <w:rFonts w:hint="eastAsia"/>
          <w:color w:val="auto"/>
          <w:highlight w:val="none"/>
          <w:lang w:val="en-GB"/>
        </w:rPr>
        <w:t>、商务</w:t>
      </w:r>
      <w:r>
        <w:rPr>
          <w:rFonts w:hint="eastAsia"/>
          <w:color w:val="auto"/>
          <w:highlight w:val="none"/>
        </w:rPr>
        <w:t>分</w:t>
      </w:r>
      <w:r>
        <w:rPr>
          <w:rFonts w:hint="eastAsia"/>
          <w:color w:val="auto"/>
          <w:highlight w:val="none"/>
          <w:lang w:val="en-GB"/>
        </w:rPr>
        <w:t>的</w:t>
      </w:r>
      <w:r>
        <w:rPr>
          <w:rFonts w:hint="eastAsia"/>
          <w:color w:val="auto"/>
          <w:highlight w:val="none"/>
        </w:rPr>
        <w:t>由高到低推荐</w:t>
      </w:r>
      <w:r>
        <w:rPr>
          <w:rFonts w:hint="eastAsia"/>
          <w:color w:val="auto"/>
          <w:highlight w:val="none"/>
          <w:lang w:val="en-GB"/>
        </w:rPr>
        <w:t>中标候选人。</w:t>
      </w:r>
    </w:p>
    <w:p w14:paraId="3A096B2D">
      <w:pPr>
        <w:shd w:val="clear"/>
        <w:spacing w:before="120" w:beforeLines="50" w:after="120" w:afterLines="50" w:line="400" w:lineRule="exact"/>
        <w:rPr>
          <w:rFonts w:hint="eastAsia" w:ascii="宋体" w:hAnsi="宋体"/>
          <w:b/>
          <w:color w:val="auto"/>
          <w:sz w:val="24"/>
          <w:highlight w:val="none"/>
        </w:rPr>
      </w:pPr>
    </w:p>
    <w:p w14:paraId="0FC27A52">
      <w:pPr>
        <w:shd w:val="clear"/>
        <w:spacing w:before="120" w:beforeLines="50" w:after="120" w:afterLines="50" w:line="400" w:lineRule="exact"/>
        <w:rPr>
          <w:rFonts w:hint="eastAsia" w:ascii="宋体" w:hAnsi="宋体"/>
          <w:b/>
          <w:color w:val="auto"/>
          <w:sz w:val="24"/>
          <w:highlight w:val="none"/>
        </w:rPr>
      </w:pPr>
    </w:p>
    <w:p w14:paraId="56F6DBA3">
      <w:pPr>
        <w:shd w:val="clear"/>
        <w:spacing w:before="120" w:beforeLines="50" w:after="120" w:afterLines="50" w:line="400" w:lineRule="exact"/>
        <w:rPr>
          <w:rFonts w:hint="eastAsia" w:ascii="宋体" w:hAnsi="宋体"/>
          <w:b/>
          <w:color w:val="auto"/>
          <w:sz w:val="24"/>
          <w:highlight w:val="none"/>
        </w:rPr>
      </w:pPr>
    </w:p>
    <w:p w14:paraId="0829B2ED">
      <w:pPr>
        <w:shd w:val="clear"/>
        <w:spacing w:before="120" w:beforeLines="50" w:after="120" w:afterLines="50" w:line="400" w:lineRule="exact"/>
        <w:rPr>
          <w:rFonts w:hint="eastAsia" w:ascii="宋体" w:hAnsi="宋体"/>
          <w:b/>
          <w:color w:val="auto"/>
          <w:sz w:val="24"/>
          <w:highlight w:val="none"/>
        </w:rPr>
      </w:pPr>
    </w:p>
    <w:p w14:paraId="1CE08DB4">
      <w:pPr>
        <w:shd w:val="clear"/>
        <w:spacing w:before="120" w:beforeLines="50" w:after="120" w:afterLines="50" w:line="400" w:lineRule="exact"/>
        <w:rPr>
          <w:rFonts w:hint="eastAsia" w:ascii="宋体" w:hAnsi="宋体"/>
          <w:b/>
          <w:color w:val="auto"/>
          <w:sz w:val="24"/>
          <w:highlight w:val="none"/>
        </w:rPr>
      </w:pPr>
    </w:p>
    <w:p w14:paraId="56BD7795">
      <w:pPr>
        <w:shd w:val="clear"/>
        <w:spacing w:before="120" w:beforeLines="50" w:after="120" w:afterLines="50" w:line="400" w:lineRule="exact"/>
        <w:rPr>
          <w:rFonts w:hint="eastAsia" w:ascii="宋体" w:hAnsi="宋体"/>
          <w:b/>
          <w:color w:val="auto"/>
          <w:sz w:val="24"/>
          <w:highlight w:val="none"/>
        </w:rPr>
      </w:pPr>
    </w:p>
    <w:p w14:paraId="6AA2B5A2">
      <w:pPr>
        <w:shd w:val="clear"/>
        <w:spacing w:before="120" w:beforeLines="50" w:after="120" w:afterLines="50" w:line="400" w:lineRule="exact"/>
        <w:rPr>
          <w:rFonts w:hint="eastAsia" w:ascii="宋体" w:hAnsi="宋体"/>
          <w:b/>
          <w:color w:val="auto"/>
          <w:sz w:val="24"/>
          <w:highlight w:val="none"/>
        </w:rPr>
      </w:pPr>
    </w:p>
    <w:p w14:paraId="4A98B0BE">
      <w:pPr>
        <w:shd w:val="clear"/>
        <w:spacing w:before="120" w:beforeLines="50" w:after="120" w:afterLines="50" w:line="400" w:lineRule="exact"/>
        <w:rPr>
          <w:rFonts w:hint="eastAsia" w:ascii="宋体" w:hAnsi="宋体"/>
          <w:b/>
          <w:color w:val="auto"/>
          <w:sz w:val="24"/>
          <w:highlight w:val="none"/>
        </w:rPr>
      </w:pPr>
    </w:p>
    <w:p w14:paraId="39AD151B">
      <w:pPr>
        <w:pStyle w:val="4"/>
        <w:keepNext w:val="0"/>
        <w:keepLines w:val="0"/>
        <w:shd w:val="clear"/>
        <w:jc w:val="center"/>
        <w:rPr>
          <w:color w:val="auto"/>
          <w:highlight w:val="none"/>
        </w:rPr>
      </w:pPr>
      <w:r>
        <w:rPr>
          <w:color w:val="auto"/>
          <w:highlight w:val="none"/>
        </w:rPr>
        <w:br w:type="page"/>
      </w:r>
    </w:p>
    <w:p w14:paraId="02903A51">
      <w:pPr>
        <w:pStyle w:val="4"/>
        <w:keepNext w:val="0"/>
        <w:keepLines w:val="0"/>
        <w:shd w:val="clear"/>
        <w:jc w:val="center"/>
        <w:rPr>
          <w:color w:val="auto"/>
          <w:highlight w:val="none"/>
        </w:rPr>
      </w:pPr>
    </w:p>
    <w:p w14:paraId="612474F5">
      <w:pPr>
        <w:pStyle w:val="4"/>
        <w:keepNext w:val="0"/>
        <w:keepLines w:val="0"/>
        <w:shd w:val="clear"/>
        <w:jc w:val="center"/>
        <w:rPr>
          <w:color w:val="auto"/>
          <w:highlight w:val="none"/>
        </w:rPr>
      </w:pPr>
    </w:p>
    <w:p w14:paraId="35283BBC">
      <w:pPr>
        <w:pStyle w:val="4"/>
        <w:keepNext w:val="0"/>
        <w:keepLines w:val="0"/>
        <w:shd w:val="clear"/>
        <w:jc w:val="center"/>
        <w:rPr>
          <w:color w:val="auto"/>
          <w:highlight w:val="none"/>
        </w:rPr>
      </w:pPr>
    </w:p>
    <w:p w14:paraId="7C213542">
      <w:pPr>
        <w:pStyle w:val="4"/>
        <w:keepNext w:val="0"/>
        <w:keepLines w:val="0"/>
        <w:shd w:val="clear"/>
        <w:jc w:val="center"/>
        <w:rPr>
          <w:color w:val="auto"/>
          <w:highlight w:val="none"/>
        </w:rPr>
      </w:pPr>
    </w:p>
    <w:p w14:paraId="402A596A">
      <w:pPr>
        <w:pStyle w:val="4"/>
        <w:keepNext w:val="0"/>
        <w:keepLines w:val="0"/>
        <w:shd w:val="clear"/>
        <w:jc w:val="center"/>
        <w:rPr>
          <w:color w:val="auto"/>
          <w:highlight w:val="none"/>
        </w:rPr>
      </w:pPr>
    </w:p>
    <w:p w14:paraId="1877DACD">
      <w:pPr>
        <w:pStyle w:val="4"/>
        <w:keepNext w:val="0"/>
        <w:keepLines w:val="0"/>
        <w:shd w:val="clear"/>
        <w:jc w:val="center"/>
        <w:rPr>
          <w:color w:val="auto"/>
          <w:highlight w:val="none"/>
        </w:rPr>
      </w:pPr>
    </w:p>
    <w:p w14:paraId="478EE652">
      <w:pPr>
        <w:pStyle w:val="3"/>
        <w:shd w:val="clear"/>
        <w:jc w:val="center"/>
        <w:rPr>
          <w:rFonts w:hint="eastAsia"/>
          <w:color w:val="auto"/>
          <w:highlight w:val="none"/>
        </w:rPr>
      </w:pPr>
      <w:bookmarkStart w:id="155" w:name="_Toc22794"/>
      <w:bookmarkStart w:id="156" w:name="_Toc74320804"/>
      <w:r>
        <w:rPr>
          <w:rFonts w:hint="eastAsia"/>
          <w:color w:val="auto"/>
          <w:highlight w:val="none"/>
        </w:rPr>
        <w:t>第五章  拟签订的合同文本</w:t>
      </w:r>
      <w:bookmarkEnd w:id="155"/>
      <w:bookmarkEnd w:id="156"/>
    </w:p>
    <w:p w14:paraId="12200D61">
      <w:pPr>
        <w:rPr>
          <w:color w:val="auto"/>
        </w:rPr>
      </w:pPr>
    </w:p>
    <w:p w14:paraId="400454B7">
      <w:pPr>
        <w:rPr>
          <w:color w:val="auto"/>
        </w:rPr>
      </w:pPr>
    </w:p>
    <w:p w14:paraId="4B1BA628">
      <w:pPr>
        <w:pStyle w:val="47"/>
        <w:rPr>
          <w:color w:val="auto"/>
        </w:rPr>
      </w:pPr>
    </w:p>
    <w:p w14:paraId="2286B264">
      <w:pPr>
        <w:pStyle w:val="47"/>
        <w:rPr>
          <w:color w:val="auto"/>
        </w:rPr>
      </w:pPr>
    </w:p>
    <w:p w14:paraId="68C10BC0">
      <w:pPr>
        <w:pStyle w:val="47"/>
        <w:rPr>
          <w:color w:val="auto"/>
        </w:rPr>
      </w:pPr>
    </w:p>
    <w:p w14:paraId="7E7E47B1">
      <w:pPr>
        <w:pStyle w:val="47"/>
        <w:rPr>
          <w:color w:val="auto"/>
        </w:rPr>
      </w:pPr>
    </w:p>
    <w:p w14:paraId="532795FC">
      <w:pPr>
        <w:pStyle w:val="47"/>
        <w:rPr>
          <w:color w:val="auto"/>
        </w:rPr>
      </w:pPr>
    </w:p>
    <w:p w14:paraId="3286C670">
      <w:pPr>
        <w:pStyle w:val="47"/>
        <w:rPr>
          <w:color w:val="auto"/>
        </w:rPr>
      </w:pPr>
    </w:p>
    <w:p w14:paraId="373B0FB3">
      <w:pPr>
        <w:pStyle w:val="47"/>
        <w:rPr>
          <w:color w:val="auto"/>
        </w:rPr>
      </w:pPr>
    </w:p>
    <w:p w14:paraId="684FA091">
      <w:pPr>
        <w:pStyle w:val="47"/>
        <w:rPr>
          <w:color w:val="auto"/>
        </w:rPr>
      </w:pPr>
    </w:p>
    <w:p w14:paraId="68C06060">
      <w:pPr>
        <w:pStyle w:val="47"/>
        <w:rPr>
          <w:color w:val="auto"/>
        </w:rPr>
      </w:pPr>
    </w:p>
    <w:p w14:paraId="0D33FEDE">
      <w:pPr>
        <w:rPr>
          <w:color w:val="auto"/>
        </w:rPr>
      </w:pPr>
    </w:p>
    <w:p w14:paraId="776D034D">
      <w:pPr>
        <w:rPr>
          <w:color w:val="auto"/>
        </w:rPr>
      </w:pPr>
    </w:p>
    <w:tbl>
      <w:tblPr>
        <w:tblStyle w:val="48"/>
        <w:tblW w:w="0" w:type="auto"/>
        <w:jc w:val="center"/>
        <w:tblLayout w:type="fixed"/>
        <w:tblCellMar>
          <w:top w:w="0" w:type="dxa"/>
          <w:left w:w="108" w:type="dxa"/>
          <w:bottom w:w="0" w:type="dxa"/>
          <w:right w:w="108" w:type="dxa"/>
        </w:tblCellMar>
      </w:tblPr>
      <w:tblGrid>
        <w:gridCol w:w="3286"/>
        <w:gridCol w:w="5186"/>
      </w:tblGrid>
      <w:tr w14:paraId="6CBC2426">
        <w:tblPrEx>
          <w:tblCellMar>
            <w:top w:w="0" w:type="dxa"/>
            <w:left w:w="108" w:type="dxa"/>
            <w:bottom w:w="0" w:type="dxa"/>
            <w:right w:w="108" w:type="dxa"/>
          </w:tblCellMar>
        </w:tblPrEx>
        <w:trPr>
          <w:trHeight w:val="3330" w:hRule="atLeast"/>
          <w:jc w:val="center"/>
        </w:trPr>
        <w:tc>
          <w:tcPr>
            <w:tcW w:w="8472" w:type="dxa"/>
            <w:gridSpan w:val="2"/>
            <w:noWrap w:val="0"/>
            <w:vAlign w:val="center"/>
          </w:tcPr>
          <w:p w14:paraId="3FDC4049">
            <w:pPr>
              <w:wordWrap w:val="0"/>
              <w:autoSpaceDE w:val="0"/>
              <w:autoSpaceDN w:val="0"/>
              <w:adjustRightInd w:val="0"/>
              <w:ind w:firstLine="1988" w:firstLineChars="450"/>
              <w:rPr>
                <w:rFonts w:hint="eastAsia" w:ascii="宋体" w:hAnsi="宋体" w:eastAsia="宋体"/>
                <w:b/>
                <w:bCs/>
                <w:color w:val="auto"/>
                <w:sz w:val="44"/>
              </w:rPr>
            </w:pPr>
          </w:p>
          <w:p w14:paraId="395A64E5">
            <w:pPr>
              <w:wordWrap w:val="0"/>
              <w:autoSpaceDE w:val="0"/>
              <w:autoSpaceDN w:val="0"/>
              <w:adjustRightInd w:val="0"/>
              <w:jc w:val="center"/>
              <w:rPr>
                <w:rFonts w:hint="default" w:ascii="宋体" w:hAnsi="宋体" w:eastAsia="宋体"/>
                <w:b/>
                <w:bCs/>
                <w:color w:val="auto"/>
                <w:sz w:val="44"/>
                <w:lang w:val="en-US" w:eastAsia="zh-CN"/>
              </w:rPr>
            </w:pPr>
            <w:r>
              <w:rPr>
                <w:rFonts w:hint="eastAsia" w:ascii="宋体" w:hAnsi="宋体" w:eastAsia="宋体"/>
                <w:b/>
                <w:bCs/>
                <w:color w:val="auto"/>
                <w:sz w:val="44"/>
              </w:rPr>
              <w:t>广西医科大学附属武鸣医院</w:t>
            </w:r>
            <w:r>
              <w:rPr>
                <w:rFonts w:hint="eastAsia" w:ascii="宋体" w:hAnsi="宋体" w:eastAsia="宋体" w:cs="Times New Roman"/>
                <w:b/>
                <w:bCs/>
                <w:color w:val="auto"/>
                <w:sz w:val="44"/>
              </w:rPr>
              <w:t>被服、布草等洗涤服务采购项目</w:t>
            </w:r>
            <w:r>
              <w:rPr>
                <w:rFonts w:hint="eastAsia" w:ascii="宋体" w:hAnsi="宋体" w:eastAsia="宋体"/>
                <w:b/>
                <w:bCs/>
                <w:color w:val="auto"/>
                <w:sz w:val="44"/>
              </w:rPr>
              <w:t>采购项目</w:t>
            </w:r>
            <w:r>
              <w:rPr>
                <w:rFonts w:hint="eastAsia" w:ascii="宋体" w:hAnsi="宋体" w:eastAsia="宋体"/>
                <w:b/>
                <w:bCs/>
                <w:color w:val="auto"/>
                <w:sz w:val="44"/>
                <w:lang w:val="en-US" w:eastAsia="zh-CN"/>
              </w:rPr>
              <w:t>采购合同</w:t>
            </w:r>
          </w:p>
          <w:p w14:paraId="25166B95">
            <w:pPr>
              <w:wordWrap w:val="0"/>
              <w:autoSpaceDE w:val="0"/>
              <w:autoSpaceDN w:val="0"/>
              <w:adjustRightInd w:val="0"/>
              <w:ind w:firstLine="1988" w:firstLineChars="450"/>
              <w:rPr>
                <w:rFonts w:hint="eastAsia" w:ascii="宋体" w:hAnsi="宋体" w:eastAsia="宋体"/>
                <w:b/>
                <w:bCs/>
                <w:color w:val="auto"/>
                <w:sz w:val="44"/>
              </w:rPr>
            </w:pPr>
          </w:p>
          <w:p w14:paraId="2A2AC2D5">
            <w:pPr>
              <w:pStyle w:val="47"/>
              <w:rPr>
                <w:rFonts w:hint="eastAsia" w:ascii="宋体" w:hAnsi="宋体" w:eastAsia="宋体"/>
                <w:b/>
                <w:bCs/>
                <w:color w:val="auto"/>
                <w:sz w:val="44"/>
              </w:rPr>
            </w:pPr>
          </w:p>
          <w:p w14:paraId="7ED86723">
            <w:pPr>
              <w:pStyle w:val="47"/>
              <w:rPr>
                <w:rFonts w:hint="eastAsia" w:ascii="宋体" w:hAnsi="宋体" w:eastAsia="宋体"/>
                <w:b/>
                <w:bCs/>
                <w:color w:val="auto"/>
                <w:sz w:val="44"/>
              </w:rPr>
            </w:pPr>
          </w:p>
          <w:p w14:paraId="2F8DB04B">
            <w:pPr>
              <w:wordWrap w:val="0"/>
              <w:autoSpaceDE w:val="0"/>
              <w:autoSpaceDN w:val="0"/>
              <w:adjustRightInd w:val="0"/>
              <w:ind w:firstLine="1446" w:firstLineChars="450"/>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lang w:val="en-US" w:eastAsia="zh-CN"/>
              </w:rPr>
              <w:t>合同</w:t>
            </w:r>
            <w:r>
              <w:rPr>
                <w:rFonts w:hint="eastAsia" w:ascii="宋体" w:hAnsi="宋体" w:eastAsia="宋体" w:cs="宋体"/>
                <w:b/>
                <w:bCs/>
                <w:color w:val="auto"/>
                <w:kern w:val="0"/>
                <w:sz w:val="32"/>
                <w:szCs w:val="32"/>
              </w:rPr>
              <w:t>编号：</w:t>
            </w:r>
          </w:p>
          <w:p w14:paraId="37C9CE6B">
            <w:pPr>
              <w:pStyle w:val="47"/>
              <w:rPr>
                <w:rFonts w:hint="eastAsia"/>
                <w:color w:val="auto"/>
              </w:rPr>
            </w:pPr>
          </w:p>
          <w:p w14:paraId="0343209B">
            <w:pPr>
              <w:wordWrap w:val="0"/>
              <w:autoSpaceDE w:val="0"/>
              <w:autoSpaceDN w:val="0"/>
              <w:adjustRightInd w:val="0"/>
              <w:ind w:firstLine="1988" w:firstLineChars="450"/>
              <w:rPr>
                <w:rFonts w:hint="eastAsia" w:ascii="宋体" w:hAnsi="宋体" w:eastAsia="宋体"/>
                <w:b/>
                <w:bCs/>
                <w:color w:val="auto"/>
                <w:sz w:val="44"/>
              </w:rPr>
            </w:pPr>
          </w:p>
          <w:p w14:paraId="245A19F5">
            <w:pPr>
              <w:wordWrap w:val="0"/>
              <w:autoSpaceDE w:val="0"/>
              <w:autoSpaceDN w:val="0"/>
              <w:adjustRightInd w:val="0"/>
              <w:ind w:firstLine="1988" w:firstLineChars="450"/>
              <w:rPr>
                <w:rFonts w:hint="eastAsia" w:ascii="宋体" w:hAnsi="宋体" w:eastAsia="宋体"/>
                <w:b/>
                <w:bCs/>
                <w:color w:val="auto"/>
                <w:sz w:val="44"/>
              </w:rPr>
            </w:pPr>
          </w:p>
        </w:tc>
      </w:tr>
      <w:tr w14:paraId="6B63C087">
        <w:tblPrEx>
          <w:tblCellMar>
            <w:top w:w="0" w:type="dxa"/>
            <w:left w:w="108" w:type="dxa"/>
            <w:bottom w:w="0" w:type="dxa"/>
            <w:right w:w="108" w:type="dxa"/>
          </w:tblCellMar>
        </w:tblPrEx>
        <w:trPr>
          <w:trHeight w:val="1263" w:hRule="atLeast"/>
          <w:jc w:val="center"/>
        </w:trPr>
        <w:tc>
          <w:tcPr>
            <w:tcW w:w="8472" w:type="dxa"/>
            <w:gridSpan w:val="2"/>
            <w:noWrap w:val="0"/>
            <w:vAlign w:val="center"/>
          </w:tcPr>
          <w:p w14:paraId="53FFF1D6">
            <w:pPr>
              <w:wordWrap w:val="0"/>
              <w:autoSpaceDE w:val="0"/>
              <w:autoSpaceDN w:val="0"/>
              <w:adjustRightInd w:val="0"/>
              <w:ind w:firstLine="1446" w:firstLineChars="450"/>
              <w:rPr>
                <w:rFonts w:ascii="宋体" w:hAnsi="宋体" w:eastAsia="宋体" w:cs="宋体"/>
                <w:b/>
                <w:bCs/>
                <w:color w:val="auto"/>
                <w:kern w:val="0"/>
                <w:sz w:val="32"/>
                <w:szCs w:val="32"/>
              </w:rPr>
            </w:pPr>
          </w:p>
          <w:p w14:paraId="0A686173">
            <w:pPr>
              <w:wordWrap w:val="0"/>
              <w:autoSpaceDE w:val="0"/>
              <w:autoSpaceDN w:val="0"/>
              <w:adjustRightInd w:val="0"/>
              <w:ind w:firstLine="1446" w:firstLineChars="450"/>
              <w:rPr>
                <w:rFonts w:hint="eastAsia" w:ascii="宋体" w:hAnsi="宋体" w:eastAsia="宋体" w:cs="宋体"/>
                <w:b/>
                <w:bCs/>
                <w:color w:val="auto"/>
                <w:kern w:val="0"/>
                <w:sz w:val="32"/>
                <w:szCs w:val="32"/>
                <w:lang w:eastAsia="zh-CN"/>
              </w:rPr>
            </w:pPr>
            <w:r>
              <w:rPr>
                <w:rFonts w:hint="eastAsia" w:ascii="宋体" w:hAnsi="宋体" w:eastAsia="宋体" w:cs="宋体"/>
                <w:b/>
                <w:bCs/>
                <w:color w:val="auto"/>
                <w:kern w:val="0"/>
                <w:sz w:val="32"/>
                <w:szCs w:val="32"/>
              </w:rPr>
              <w:t>采购单位：</w:t>
            </w:r>
            <w:r>
              <w:rPr>
                <w:rFonts w:hint="eastAsia" w:ascii="宋体" w:hAnsi="宋体" w:cs="宋体"/>
                <w:b/>
                <w:bCs/>
                <w:color w:val="auto"/>
                <w:kern w:val="0"/>
                <w:sz w:val="32"/>
                <w:szCs w:val="32"/>
                <w:lang w:val="en-US" w:eastAsia="zh-CN"/>
              </w:rPr>
              <w:t xml:space="preserve"> </w:t>
            </w:r>
          </w:p>
        </w:tc>
      </w:tr>
      <w:tr w14:paraId="5F9FEF8F">
        <w:tblPrEx>
          <w:tblCellMar>
            <w:top w:w="0" w:type="dxa"/>
            <w:left w:w="108" w:type="dxa"/>
            <w:bottom w:w="0" w:type="dxa"/>
            <w:right w:w="108" w:type="dxa"/>
          </w:tblCellMar>
        </w:tblPrEx>
        <w:trPr>
          <w:trHeight w:val="890" w:hRule="atLeast"/>
          <w:jc w:val="center"/>
        </w:trPr>
        <w:tc>
          <w:tcPr>
            <w:tcW w:w="8472" w:type="dxa"/>
            <w:gridSpan w:val="2"/>
            <w:noWrap w:val="0"/>
            <w:vAlign w:val="center"/>
          </w:tcPr>
          <w:p w14:paraId="602D5F39">
            <w:pPr>
              <w:wordWrap w:val="0"/>
              <w:autoSpaceDE w:val="0"/>
              <w:autoSpaceDN w:val="0"/>
              <w:adjustRightInd w:val="0"/>
              <w:ind w:firstLine="1446" w:firstLineChars="450"/>
              <w:rPr>
                <w:rFonts w:hint="eastAsia" w:ascii="宋体" w:hAnsi="宋体" w:eastAsia="宋体" w:cs="宋体"/>
                <w:b/>
                <w:bCs/>
                <w:color w:val="auto"/>
                <w:kern w:val="0"/>
                <w:sz w:val="32"/>
                <w:szCs w:val="32"/>
                <w:lang w:eastAsia="zh-CN"/>
              </w:rPr>
            </w:pPr>
            <w:r>
              <w:rPr>
                <w:rFonts w:hint="eastAsia" w:ascii="宋体" w:hAnsi="宋体" w:eastAsia="宋体" w:cs="宋体"/>
                <w:b/>
                <w:bCs/>
                <w:color w:val="auto"/>
                <w:kern w:val="0"/>
                <w:sz w:val="32"/>
                <w:szCs w:val="32"/>
              </w:rPr>
              <w:t>供 应 商：</w:t>
            </w:r>
            <w:r>
              <w:rPr>
                <w:rFonts w:hint="eastAsia" w:ascii="宋体" w:hAnsi="宋体" w:cs="宋体"/>
                <w:b/>
                <w:bCs/>
                <w:color w:val="auto"/>
                <w:kern w:val="0"/>
                <w:sz w:val="32"/>
                <w:szCs w:val="32"/>
                <w:lang w:val="en-US" w:eastAsia="zh-CN"/>
              </w:rPr>
              <w:t xml:space="preserve"> </w:t>
            </w:r>
          </w:p>
        </w:tc>
      </w:tr>
      <w:tr w14:paraId="4CC45F45">
        <w:tblPrEx>
          <w:tblCellMar>
            <w:top w:w="0" w:type="dxa"/>
            <w:left w:w="108" w:type="dxa"/>
            <w:bottom w:w="0" w:type="dxa"/>
            <w:right w:w="108" w:type="dxa"/>
          </w:tblCellMar>
        </w:tblPrEx>
        <w:trPr>
          <w:trHeight w:val="894" w:hRule="atLeast"/>
          <w:jc w:val="center"/>
        </w:trPr>
        <w:tc>
          <w:tcPr>
            <w:tcW w:w="3286" w:type="dxa"/>
            <w:noWrap w:val="0"/>
            <w:vAlign w:val="center"/>
          </w:tcPr>
          <w:p w14:paraId="41AABCA4">
            <w:pPr>
              <w:wordWrap w:val="0"/>
              <w:autoSpaceDE w:val="0"/>
              <w:autoSpaceDN w:val="0"/>
              <w:adjustRightInd w:val="0"/>
              <w:ind w:firstLine="1446" w:firstLineChars="450"/>
              <w:rPr>
                <w:rFonts w:ascii="宋体" w:hAnsi="宋体" w:eastAsia="宋体" w:cs="宋体"/>
                <w:b/>
                <w:bCs/>
                <w:color w:val="auto"/>
                <w:kern w:val="0"/>
                <w:sz w:val="32"/>
                <w:szCs w:val="32"/>
              </w:rPr>
            </w:pPr>
            <w:r>
              <w:rPr>
                <w:rFonts w:hint="eastAsia" w:ascii="宋体" w:hAnsi="宋体" w:eastAsia="宋体" w:cs="宋体"/>
                <w:b/>
                <w:bCs/>
                <w:color w:val="auto"/>
                <w:kern w:val="0"/>
                <w:sz w:val="32"/>
                <w:szCs w:val="32"/>
              </w:rPr>
              <w:t>签订时间：</w:t>
            </w:r>
          </w:p>
        </w:tc>
        <w:tc>
          <w:tcPr>
            <w:tcW w:w="5186" w:type="dxa"/>
            <w:noWrap w:val="0"/>
            <w:vAlign w:val="center"/>
          </w:tcPr>
          <w:p w14:paraId="0C149FE1">
            <w:pPr>
              <w:wordWrap w:val="0"/>
              <w:autoSpaceDE w:val="0"/>
              <w:autoSpaceDN w:val="0"/>
              <w:adjustRightInd w:val="0"/>
              <w:ind w:firstLine="964" w:firstLineChars="300"/>
              <w:rPr>
                <w:rFonts w:ascii="宋体" w:hAnsi="宋体" w:eastAsia="宋体" w:cs="宋体"/>
                <w:b/>
                <w:bCs/>
                <w:color w:val="auto"/>
                <w:kern w:val="0"/>
                <w:sz w:val="32"/>
                <w:szCs w:val="32"/>
              </w:rPr>
            </w:pPr>
            <w:r>
              <w:rPr>
                <w:rFonts w:hint="eastAsia" w:ascii="宋体" w:hAnsi="宋体" w:eastAsia="宋体" w:cs="宋体"/>
                <w:b/>
                <w:bCs/>
                <w:color w:val="auto"/>
                <w:kern w:val="0"/>
                <w:sz w:val="32"/>
                <w:szCs w:val="32"/>
              </w:rPr>
              <w:t>年</w:t>
            </w:r>
            <w:r>
              <w:rPr>
                <w:rFonts w:hint="eastAsia" w:ascii="宋体" w:hAnsi="宋体" w:cs="宋体"/>
                <w:b/>
                <w:bCs/>
                <w:color w:val="auto"/>
                <w:kern w:val="0"/>
                <w:sz w:val="32"/>
                <w:szCs w:val="32"/>
                <w:lang w:val="en-US" w:eastAsia="zh-CN"/>
              </w:rPr>
              <w:t xml:space="preserve">  </w:t>
            </w:r>
            <w:r>
              <w:rPr>
                <w:rFonts w:hint="eastAsia" w:ascii="宋体" w:hAnsi="宋体" w:eastAsia="宋体" w:cs="宋体"/>
                <w:b/>
                <w:bCs/>
                <w:color w:val="auto"/>
                <w:kern w:val="0"/>
                <w:sz w:val="32"/>
                <w:szCs w:val="32"/>
              </w:rPr>
              <w:t>月  日</w:t>
            </w:r>
          </w:p>
        </w:tc>
      </w:tr>
    </w:tbl>
    <w:p w14:paraId="3FF001AE">
      <w:pPr>
        <w:rPr>
          <w:color w:val="auto"/>
        </w:rPr>
      </w:pPr>
    </w:p>
    <w:p w14:paraId="7E1295ED">
      <w:pPr>
        <w:shd w:val="clear"/>
        <w:snapToGrid w:val="0"/>
        <w:jc w:val="center"/>
        <w:rPr>
          <w:rFonts w:hint="eastAsia" w:ascii="宋体" w:hAnsi="宋体"/>
          <w:bCs/>
          <w:color w:val="auto"/>
          <w:sz w:val="32"/>
          <w:szCs w:val="32"/>
          <w:highlight w:val="none"/>
        </w:rPr>
      </w:pPr>
    </w:p>
    <w:p w14:paraId="68D31E28">
      <w:pPr>
        <w:shd w:val="clear"/>
        <w:snapToGrid w:val="0"/>
        <w:jc w:val="center"/>
        <w:rPr>
          <w:rFonts w:hint="eastAsia" w:ascii="宋体" w:hAnsi="宋体"/>
          <w:bCs/>
          <w:color w:val="auto"/>
          <w:sz w:val="32"/>
          <w:szCs w:val="32"/>
          <w:highlight w:val="none"/>
        </w:rPr>
      </w:pPr>
    </w:p>
    <w:p w14:paraId="724B0F1D">
      <w:pPr>
        <w:shd w:val="clear"/>
        <w:snapToGrid w:val="0"/>
        <w:jc w:val="center"/>
        <w:rPr>
          <w:rFonts w:hint="eastAsia" w:ascii="宋体" w:hAnsi="宋体"/>
          <w:bCs/>
          <w:color w:val="auto"/>
          <w:sz w:val="32"/>
          <w:szCs w:val="32"/>
          <w:highlight w:val="none"/>
        </w:rPr>
      </w:pPr>
    </w:p>
    <w:p w14:paraId="6EADB8C4">
      <w:pPr>
        <w:shd w:val="clear"/>
        <w:snapToGrid w:val="0"/>
        <w:jc w:val="center"/>
        <w:rPr>
          <w:rFonts w:hint="eastAsia" w:ascii="宋体" w:hAnsi="宋体"/>
          <w:bCs/>
          <w:color w:val="auto"/>
          <w:sz w:val="32"/>
          <w:szCs w:val="32"/>
          <w:highlight w:val="none"/>
        </w:rPr>
      </w:pPr>
    </w:p>
    <w:p w14:paraId="7C67AF60">
      <w:pPr>
        <w:shd w:val="clear"/>
        <w:snapToGrid w:val="0"/>
        <w:jc w:val="center"/>
        <w:rPr>
          <w:rFonts w:hint="eastAsia" w:ascii="宋体" w:hAnsi="宋体"/>
          <w:bCs/>
          <w:color w:val="auto"/>
          <w:sz w:val="32"/>
          <w:szCs w:val="32"/>
          <w:highlight w:val="none"/>
        </w:rPr>
      </w:pPr>
    </w:p>
    <w:p w14:paraId="0431E688">
      <w:pPr>
        <w:shd w:val="clear"/>
        <w:snapToGrid w:val="0"/>
        <w:jc w:val="center"/>
        <w:rPr>
          <w:rFonts w:hint="eastAsia" w:ascii="宋体" w:hAnsi="宋体"/>
          <w:bCs/>
          <w:color w:val="auto"/>
          <w:sz w:val="32"/>
          <w:szCs w:val="32"/>
          <w:highlight w:val="none"/>
        </w:rPr>
      </w:pPr>
    </w:p>
    <w:p w14:paraId="5300B853">
      <w:pPr>
        <w:shd w:val="clear"/>
        <w:snapToGrid w:val="0"/>
        <w:jc w:val="center"/>
        <w:rPr>
          <w:rFonts w:hint="eastAsia" w:ascii="宋体" w:hAnsi="宋体"/>
          <w:bCs/>
          <w:color w:val="auto"/>
          <w:sz w:val="32"/>
          <w:szCs w:val="32"/>
          <w:highlight w:val="none"/>
        </w:rPr>
      </w:pPr>
    </w:p>
    <w:p w14:paraId="6B945F89">
      <w:pPr>
        <w:shd w:val="clear"/>
        <w:snapToGrid w:val="0"/>
        <w:jc w:val="center"/>
        <w:rPr>
          <w:rFonts w:hint="eastAsia" w:ascii="宋体" w:hAnsi="宋体"/>
          <w:bCs/>
          <w:color w:val="auto"/>
          <w:sz w:val="32"/>
          <w:szCs w:val="32"/>
          <w:highlight w:val="none"/>
        </w:rPr>
      </w:pPr>
    </w:p>
    <w:p w14:paraId="481C4D3A">
      <w:pPr>
        <w:shd w:val="clear"/>
        <w:snapToGrid w:val="0"/>
        <w:jc w:val="center"/>
        <w:rPr>
          <w:rFonts w:hint="eastAsia" w:ascii="宋体" w:hAnsi="宋体"/>
          <w:bCs/>
          <w:color w:val="auto"/>
          <w:sz w:val="32"/>
          <w:szCs w:val="32"/>
          <w:highlight w:val="none"/>
        </w:rPr>
      </w:pPr>
    </w:p>
    <w:p w14:paraId="766F6235">
      <w:pPr>
        <w:shd w:val="clear"/>
        <w:snapToGrid w:val="0"/>
        <w:jc w:val="center"/>
        <w:rPr>
          <w:rFonts w:hint="eastAsia" w:ascii="宋体" w:hAnsi="宋体"/>
          <w:bCs/>
          <w:color w:val="auto"/>
          <w:sz w:val="32"/>
          <w:szCs w:val="32"/>
          <w:highlight w:val="none"/>
        </w:rPr>
      </w:pPr>
    </w:p>
    <w:p w14:paraId="694AC895">
      <w:pPr>
        <w:shd w:val="clear"/>
        <w:snapToGrid w:val="0"/>
        <w:jc w:val="center"/>
        <w:rPr>
          <w:rFonts w:hint="eastAsia" w:ascii="宋体" w:hAnsi="宋体"/>
          <w:bCs/>
          <w:color w:val="auto"/>
          <w:sz w:val="32"/>
          <w:szCs w:val="32"/>
          <w:highlight w:val="none"/>
        </w:rPr>
      </w:pPr>
    </w:p>
    <w:p w14:paraId="2EB64BC4">
      <w:pPr>
        <w:shd w:val="clear"/>
        <w:snapToGrid w:val="0"/>
        <w:rPr>
          <w:rFonts w:hint="eastAsia" w:ascii="宋体" w:hAnsi="宋体"/>
          <w:color w:val="auto"/>
          <w:szCs w:val="21"/>
          <w:highlight w:val="none"/>
        </w:rPr>
      </w:pPr>
      <w:bookmarkStart w:id="157" w:name="_Hlk55381736"/>
      <w:r>
        <w:rPr>
          <w:rFonts w:hint="eastAsia" w:ascii="宋体" w:hAnsi="宋体"/>
          <w:b/>
          <w:color w:val="auto"/>
          <w:sz w:val="32"/>
          <w:szCs w:val="32"/>
          <w:highlight w:val="none"/>
        </w:rPr>
        <w:t xml:space="preserve"> </w:t>
      </w:r>
    </w:p>
    <w:p w14:paraId="3E44E853">
      <w:pPr>
        <w:pStyle w:val="26"/>
        <w:shd w:val="clear"/>
        <w:snapToGrid w:val="0"/>
        <w:spacing w:before="120" w:after="120" w:line="320" w:lineRule="exact"/>
        <w:jc w:val="center"/>
        <w:outlineLvl w:val="0"/>
        <w:rPr>
          <w:rFonts w:ascii="宋体" w:hAnsi="Times New Roman" w:eastAsia="宋体" w:cs="宋体"/>
          <w:b/>
          <w:bCs/>
          <w:color w:val="auto"/>
          <w:sz w:val="32"/>
          <w:szCs w:val="32"/>
        </w:rPr>
      </w:pPr>
      <w:bookmarkStart w:id="158" w:name="_Toc77864348"/>
      <w:r>
        <w:rPr>
          <w:rFonts w:ascii="Arial" w:hAnsi="Arial" w:cs="Arial"/>
          <w:color w:val="auto"/>
          <w:sz w:val="32"/>
          <w:szCs w:val="32"/>
          <w:highlight w:val="none"/>
        </w:rPr>
        <w:br w:type="page"/>
      </w:r>
      <w:bookmarkEnd w:id="157"/>
      <w:bookmarkEnd w:id="158"/>
      <w:r>
        <w:rPr>
          <w:rFonts w:hint="eastAsia" w:ascii="宋体" w:hAnsi="Times New Roman" w:eastAsia="宋体" w:cs="宋体"/>
          <w:b/>
          <w:bCs/>
          <w:color w:val="auto"/>
          <w:sz w:val="32"/>
          <w:szCs w:val="32"/>
        </w:rPr>
        <w:t>《广西壮族自治区政府采购合同》</w:t>
      </w:r>
      <w:r>
        <w:rPr>
          <w:rFonts w:hint="eastAsia" w:ascii="宋体" w:hAnsi="Times New Roman" w:eastAsia="宋体" w:cs="宋体"/>
          <w:b/>
          <w:color w:val="auto"/>
          <w:sz w:val="32"/>
          <w:szCs w:val="32"/>
        </w:rPr>
        <w:t>文本</w:t>
      </w:r>
    </w:p>
    <w:p w14:paraId="72E31733">
      <w:pPr>
        <w:snapToGrid w:val="0"/>
        <w:spacing w:line="360" w:lineRule="auto"/>
        <w:ind w:right="480" w:firstLine="5670" w:firstLineChars="2700"/>
        <w:rPr>
          <w:rFonts w:ascii="宋体" w:hAnsi="Times New Roman" w:eastAsia="宋体" w:cs="宋体"/>
          <w:bCs/>
          <w:color w:val="auto"/>
          <w:szCs w:val="21"/>
        </w:rPr>
      </w:pPr>
    </w:p>
    <w:p w14:paraId="32CB135D">
      <w:pPr>
        <w:snapToGrid w:val="0"/>
        <w:spacing w:line="400" w:lineRule="exact"/>
        <w:rPr>
          <w:rFonts w:hint="eastAsia" w:ascii="宋体" w:hAnsi="宋体" w:eastAsia="宋体" w:cs="宋体"/>
          <w:color w:val="auto"/>
          <w:szCs w:val="21"/>
          <w:u w:val="single"/>
        </w:rPr>
      </w:pPr>
      <w:r>
        <w:rPr>
          <w:rFonts w:hint="eastAsia" w:ascii="宋体" w:hAnsi="宋体" w:eastAsia="宋体" w:cs="宋体"/>
          <w:color w:val="auto"/>
          <w:szCs w:val="21"/>
        </w:rPr>
        <w:t>采购单位（甲方）</w:t>
      </w:r>
      <w:r>
        <w:rPr>
          <w:rFonts w:hint="eastAsia" w:ascii="宋体" w:hAnsi="宋体" w:eastAsia="宋体" w:cs="宋体"/>
          <w:color w:val="auto"/>
          <w:szCs w:val="21"/>
          <w:u w:val="single"/>
        </w:rPr>
        <w:t xml:space="preserve">  广西医科大学附属武鸣医院   </w:t>
      </w:r>
    </w:p>
    <w:p w14:paraId="1F124046">
      <w:pPr>
        <w:snapToGrid w:val="0"/>
        <w:spacing w:line="400" w:lineRule="exact"/>
        <w:rPr>
          <w:rFonts w:hint="eastAsia" w:ascii="宋体" w:hAnsi="宋体" w:eastAsia="宋体" w:cs="宋体"/>
          <w:color w:val="auto"/>
          <w:szCs w:val="21"/>
          <w:u w:val="single"/>
        </w:rPr>
      </w:pPr>
      <w:r>
        <w:rPr>
          <w:rFonts w:hint="eastAsia" w:ascii="宋体" w:hAnsi="宋体" w:eastAsia="宋体" w:cs="宋体"/>
          <w:color w:val="auto"/>
          <w:szCs w:val="21"/>
        </w:rPr>
        <w:t>供 应 商（乙方）</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合 同 编 号</w:t>
      </w:r>
      <w:r>
        <w:rPr>
          <w:rFonts w:hint="eastAsia" w:ascii="宋体" w:hAnsi="宋体" w:eastAsia="宋体" w:cs="宋体"/>
          <w:color w:val="auto"/>
          <w:szCs w:val="21"/>
          <w:u w:val="single"/>
        </w:rPr>
        <w:t xml:space="preserve">                    </w:t>
      </w:r>
    </w:p>
    <w:p w14:paraId="69FC78D5">
      <w:pPr>
        <w:snapToGrid w:val="0"/>
        <w:spacing w:line="400" w:lineRule="exact"/>
        <w:rPr>
          <w:rFonts w:hint="eastAsia" w:ascii="宋体" w:hAnsi="宋体" w:eastAsia="宋体" w:cs="宋体"/>
          <w:color w:val="auto"/>
          <w:szCs w:val="21"/>
          <w:u w:val="single"/>
        </w:rPr>
      </w:pPr>
      <w:r>
        <w:rPr>
          <w:rFonts w:hint="eastAsia" w:ascii="宋体" w:hAnsi="宋体" w:eastAsia="宋体" w:cs="宋体"/>
          <w:color w:val="auto"/>
          <w:szCs w:val="21"/>
        </w:rPr>
        <w:t>签 订 时 间</w:t>
      </w:r>
      <w:r>
        <w:rPr>
          <w:rFonts w:hint="eastAsia" w:ascii="宋体" w:hAnsi="宋体" w:eastAsia="宋体" w:cs="宋体"/>
          <w:color w:val="auto"/>
          <w:szCs w:val="21"/>
          <w:u w:val="single"/>
        </w:rPr>
        <w:t xml:space="preserve">       年   月   日 </w:t>
      </w:r>
    </w:p>
    <w:p w14:paraId="62F8E92C">
      <w:pPr>
        <w:snapToGrid w:val="0"/>
        <w:spacing w:line="400" w:lineRule="exact"/>
        <w:ind w:firstLine="420" w:firstLineChars="200"/>
        <w:rPr>
          <w:rFonts w:hint="eastAsia" w:ascii="宋体" w:hAnsi="宋体" w:eastAsia="宋体" w:cs="宋体"/>
          <w:color w:val="auto"/>
          <w:szCs w:val="21"/>
        </w:rPr>
      </w:pPr>
    </w:p>
    <w:p w14:paraId="2B79A5B3">
      <w:pPr>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根据《中华人民共和国政府采购法》《中华人民共和国民法典》等法律法规规定，按照采购文件规定条款和</w:t>
      </w:r>
      <w:r>
        <w:rPr>
          <w:rFonts w:hint="eastAsia" w:ascii="宋体" w:hAnsi="宋体" w:eastAsia="宋体" w:cs="宋体"/>
          <w:color w:val="auto"/>
          <w:szCs w:val="21"/>
          <w:lang w:val="en-US" w:eastAsia="zh-CN"/>
        </w:rPr>
        <w:t>乙方</w:t>
      </w:r>
      <w:r>
        <w:rPr>
          <w:rFonts w:hint="eastAsia" w:ascii="宋体" w:hAnsi="宋体" w:eastAsia="宋体" w:cs="宋体"/>
          <w:color w:val="auto"/>
          <w:szCs w:val="21"/>
        </w:rPr>
        <w:t>承诺，甲乙双方签订本合同。</w:t>
      </w:r>
    </w:p>
    <w:p w14:paraId="6A3E66EE">
      <w:pPr>
        <w:spacing w:after="96" w:afterLines="40" w:line="40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第一条 合同标的</w:t>
      </w:r>
    </w:p>
    <w:p w14:paraId="4BE9EAD3">
      <w:pPr>
        <w:spacing w:after="96" w:afterLines="40"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kern w:val="1"/>
          <w:szCs w:val="21"/>
        </w:rPr>
        <w:t xml:space="preserve">. </w:t>
      </w:r>
      <w:r>
        <w:rPr>
          <w:rFonts w:hint="eastAsia" w:ascii="宋体" w:hAnsi="宋体" w:eastAsia="宋体" w:cs="宋体"/>
          <w:color w:val="auto"/>
          <w:szCs w:val="21"/>
        </w:rPr>
        <w:t>项目概况及服务范围</w:t>
      </w:r>
    </w:p>
    <w:p w14:paraId="3BD957E1">
      <w:pPr>
        <w:spacing w:after="96" w:afterLines="40" w:line="400" w:lineRule="exact"/>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rPr>
        <w:t>（1）项目名称：</w:t>
      </w:r>
      <w:r>
        <w:rPr>
          <w:rFonts w:hint="eastAsia" w:ascii="宋体" w:hAnsi="宋体" w:eastAsia="宋体" w:cs="宋体"/>
          <w:color w:val="auto"/>
          <w:szCs w:val="21"/>
          <w:u w:val="single"/>
        </w:rPr>
        <w:t>被服、布草等洗涤服务采购项目。</w:t>
      </w:r>
      <w:r>
        <w:rPr>
          <w:rFonts w:hint="eastAsia" w:ascii="宋体" w:hAnsi="宋体" w:eastAsia="宋体" w:cs="宋体"/>
          <w:color w:val="auto"/>
          <w:szCs w:val="21"/>
        </w:rPr>
        <w:t xml:space="preserve">       </w:t>
      </w:r>
    </w:p>
    <w:p w14:paraId="62A392CC">
      <w:pPr>
        <w:spacing w:after="96" w:afterLines="40"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（2）服务</w:t>
      </w:r>
      <w:r>
        <w:rPr>
          <w:rFonts w:hint="eastAsia" w:ascii="宋体" w:hAnsi="宋体" w:eastAsia="宋体" w:cs="宋体"/>
          <w:color w:val="auto"/>
          <w:szCs w:val="21"/>
          <w:lang w:val="en-US" w:eastAsia="zh-CN"/>
        </w:rPr>
        <w:t>地点</w:t>
      </w:r>
      <w:r>
        <w:rPr>
          <w:rFonts w:hint="eastAsia" w:ascii="宋体" w:hAnsi="宋体" w:eastAsia="宋体" w:cs="宋体"/>
          <w:color w:val="auto"/>
          <w:szCs w:val="21"/>
        </w:rPr>
        <w:t>：</w:t>
      </w:r>
      <w:r>
        <w:rPr>
          <w:rFonts w:hint="eastAsia" w:ascii="宋体" w:hAnsi="宋体" w:eastAsia="宋体" w:cs="宋体"/>
          <w:color w:val="auto"/>
          <w:szCs w:val="21"/>
          <w:u w:val="single"/>
        </w:rPr>
        <w:t>广西医科大学附属武鸣医院院内甲方指定地点。</w:t>
      </w:r>
    </w:p>
    <w:p w14:paraId="040F6518">
      <w:pPr>
        <w:spacing w:after="96" w:afterLines="40" w:line="400" w:lineRule="exact"/>
        <w:ind w:firstLine="420" w:firstLineChars="200"/>
        <w:rPr>
          <w:rFonts w:hint="default" w:eastAsia="宋体"/>
          <w:color w:val="auto"/>
          <w:lang w:val="en-US" w:eastAsia="zh-CN"/>
        </w:rPr>
      </w:pPr>
      <w:r>
        <w:rPr>
          <w:rFonts w:hint="eastAsia" w:ascii="宋体" w:hAnsi="宋体" w:eastAsia="宋体" w:cs="宋体"/>
          <w:color w:val="auto"/>
          <w:szCs w:val="21"/>
        </w:rPr>
        <w:t>（3）服务期限：</w:t>
      </w:r>
      <w:r>
        <w:rPr>
          <w:rFonts w:hint="eastAsia" w:ascii="宋体" w:hAnsi="宋体" w:eastAsia="宋体" w:cs="宋体"/>
          <w:color w:val="auto"/>
          <w:szCs w:val="21"/>
          <w:u w:val="single"/>
          <w:lang w:val="en-US" w:eastAsia="zh-CN"/>
        </w:rPr>
        <w:t>2</w:t>
      </w:r>
      <w:r>
        <w:rPr>
          <w:rFonts w:hint="eastAsia" w:ascii="宋体" w:hAnsi="宋体" w:eastAsia="宋体" w:cs="宋体"/>
          <w:color w:val="auto"/>
          <w:szCs w:val="21"/>
          <w:u w:val="single"/>
        </w:rPr>
        <w:t xml:space="preserve">年  </w:t>
      </w:r>
      <w:r>
        <w:rPr>
          <w:rFonts w:hint="eastAsia" w:ascii="宋体" w:hAnsi="宋体" w:cs="宋体"/>
          <w:color w:val="auto"/>
          <w:szCs w:val="21"/>
          <w:u w:val="single"/>
          <w:lang w:eastAsia="zh-CN"/>
        </w:rPr>
        <w:t>，</w:t>
      </w:r>
      <w:r>
        <w:rPr>
          <w:rFonts w:ascii="Arial" w:hAnsi="Arial" w:cs="Arial"/>
          <w:color w:val="auto"/>
          <w:szCs w:val="21"/>
        </w:rPr>
        <w:t>即</w:t>
      </w:r>
      <w:r>
        <w:rPr>
          <w:rFonts w:hint="eastAsia" w:ascii="Arial" w:hAnsi="Arial" w:cs="Arial"/>
          <w:color w:val="auto"/>
          <w:szCs w:val="21"/>
          <w:lang w:val="en-US" w:eastAsia="zh-CN"/>
        </w:rPr>
        <w:t xml:space="preserve">    </w:t>
      </w:r>
      <w:r>
        <w:rPr>
          <w:rFonts w:ascii="Arial" w:hAnsi="Arial" w:cs="Arial"/>
          <w:color w:val="auto"/>
          <w:szCs w:val="21"/>
        </w:rPr>
        <w:t>年</w:t>
      </w:r>
      <w:r>
        <w:rPr>
          <w:rFonts w:ascii="Arial" w:hAnsi="Arial" w:cs="Arial"/>
          <w:color w:val="auto"/>
          <w:szCs w:val="21"/>
          <w:u w:val="single"/>
        </w:rPr>
        <w:t xml:space="preserve">   </w:t>
      </w:r>
      <w:r>
        <w:rPr>
          <w:rFonts w:ascii="Arial" w:hAnsi="Arial" w:cs="Arial"/>
          <w:color w:val="auto"/>
          <w:szCs w:val="21"/>
        </w:rPr>
        <w:t>月</w:t>
      </w:r>
      <w:r>
        <w:rPr>
          <w:rFonts w:ascii="Arial" w:hAnsi="Arial" w:cs="Arial"/>
          <w:color w:val="auto"/>
          <w:szCs w:val="21"/>
          <w:u w:val="single"/>
        </w:rPr>
        <w:t xml:space="preserve">   </w:t>
      </w:r>
      <w:r>
        <w:rPr>
          <w:rFonts w:ascii="Arial" w:hAnsi="Arial" w:cs="Arial"/>
          <w:color w:val="auto"/>
          <w:szCs w:val="21"/>
        </w:rPr>
        <w:t>日至</w:t>
      </w:r>
      <w:r>
        <w:rPr>
          <w:rFonts w:hint="eastAsia" w:ascii="Arial" w:hAnsi="Arial" w:cs="Arial"/>
          <w:color w:val="auto"/>
          <w:szCs w:val="21"/>
          <w:lang w:val="en-US" w:eastAsia="zh-CN"/>
        </w:rPr>
        <w:t xml:space="preserve"> </w:t>
      </w:r>
      <w:r>
        <w:rPr>
          <w:rFonts w:hint="eastAsia" w:ascii="Arial" w:hAnsi="Arial" w:cs="Arial"/>
          <w:color w:val="auto"/>
          <w:szCs w:val="21"/>
          <w:u w:val="single"/>
          <w:lang w:val="en-US" w:eastAsia="zh-CN"/>
        </w:rPr>
        <w:t xml:space="preserve">    </w:t>
      </w:r>
      <w:r>
        <w:rPr>
          <w:rFonts w:ascii="Arial" w:hAnsi="Arial" w:cs="Arial"/>
          <w:color w:val="auto"/>
          <w:szCs w:val="21"/>
        </w:rPr>
        <w:t>年</w:t>
      </w:r>
      <w:r>
        <w:rPr>
          <w:rFonts w:ascii="Arial" w:hAnsi="Arial" w:cs="Arial"/>
          <w:color w:val="auto"/>
          <w:szCs w:val="21"/>
          <w:u w:val="single"/>
        </w:rPr>
        <w:t xml:space="preserve">   </w:t>
      </w:r>
      <w:r>
        <w:rPr>
          <w:rFonts w:ascii="Arial" w:hAnsi="Arial" w:cs="Arial"/>
          <w:color w:val="auto"/>
          <w:szCs w:val="21"/>
        </w:rPr>
        <w:t>月</w:t>
      </w:r>
      <w:r>
        <w:rPr>
          <w:rFonts w:ascii="Arial" w:hAnsi="Arial" w:cs="Arial"/>
          <w:color w:val="auto"/>
          <w:szCs w:val="21"/>
          <w:u w:val="single"/>
        </w:rPr>
        <w:t xml:space="preserve">   </w:t>
      </w:r>
      <w:r>
        <w:rPr>
          <w:rFonts w:ascii="Arial" w:hAnsi="Arial" w:cs="Arial"/>
          <w:color w:val="auto"/>
          <w:szCs w:val="21"/>
        </w:rPr>
        <w:t>日。按实际</w:t>
      </w:r>
      <w:r>
        <w:rPr>
          <w:rFonts w:hint="eastAsia" w:ascii="Arial" w:hAnsi="Arial" w:cs="Arial"/>
          <w:color w:val="auto"/>
          <w:szCs w:val="21"/>
          <w:lang w:val="en-US" w:eastAsia="zh-CN"/>
        </w:rPr>
        <w:t>洗涤费用</w:t>
      </w:r>
      <w:r>
        <w:rPr>
          <w:rFonts w:ascii="Arial" w:hAnsi="Arial" w:cs="Arial"/>
          <w:color w:val="auto"/>
          <w:szCs w:val="21"/>
        </w:rPr>
        <w:t>进行结算</w:t>
      </w:r>
      <w:r>
        <w:rPr>
          <w:rFonts w:hint="eastAsia" w:ascii="Arial" w:hAnsi="Arial" w:cs="Arial"/>
          <w:color w:val="auto"/>
          <w:szCs w:val="21"/>
        </w:rPr>
        <w:t>，</w:t>
      </w:r>
      <w:r>
        <w:rPr>
          <w:rFonts w:hint="eastAsia" w:ascii="宋体" w:hAnsi="宋体" w:cs="宋体"/>
          <w:color w:val="auto"/>
          <w:kern w:val="0"/>
          <w:szCs w:val="21"/>
          <w:lang w:bidi="ar"/>
        </w:rPr>
        <w:t>若</w:t>
      </w:r>
      <w:r>
        <w:rPr>
          <w:rFonts w:hint="eastAsia" w:ascii="宋体" w:hAnsi="宋体" w:cs="宋体"/>
          <w:color w:val="auto"/>
          <w:kern w:val="0"/>
          <w:szCs w:val="21"/>
          <w:lang w:val="en-US" w:eastAsia="zh-CN" w:bidi="ar"/>
        </w:rPr>
        <w:t>洗涤费用</w:t>
      </w:r>
      <w:r>
        <w:rPr>
          <w:rFonts w:hint="eastAsia" w:ascii="宋体" w:hAnsi="宋体" w:cs="宋体"/>
          <w:color w:val="auto"/>
          <w:kern w:val="0"/>
          <w:szCs w:val="21"/>
          <w:lang w:bidi="ar"/>
        </w:rPr>
        <w:t>达</w:t>
      </w:r>
      <w:r>
        <w:rPr>
          <w:rFonts w:hint="eastAsia" w:ascii="Arial" w:hAnsi="Arial" w:cs="Arial"/>
          <w:color w:val="auto"/>
          <w:szCs w:val="21"/>
          <w:u w:val="single"/>
          <w:lang w:val="en-US" w:eastAsia="zh-CN"/>
        </w:rPr>
        <w:t>460万</w:t>
      </w:r>
      <w:r>
        <w:rPr>
          <w:rFonts w:hint="eastAsia" w:ascii="宋体" w:hAnsi="宋体" w:cs="宋体"/>
          <w:color w:val="auto"/>
          <w:kern w:val="0"/>
          <w:szCs w:val="21"/>
          <w:u w:val="single"/>
          <w:lang w:bidi="ar"/>
        </w:rPr>
        <w:t>元</w:t>
      </w:r>
      <w:r>
        <w:rPr>
          <w:rFonts w:hint="eastAsia" w:ascii="宋体" w:hAnsi="宋体" w:cs="宋体"/>
          <w:color w:val="auto"/>
          <w:kern w:val="0"/>
          <w:szCs w:val="21"/>
          <w:lang w:bidi="ar"/>
        </w:rPr>
        <w:t>合同自动终止。</w:t>
      </w:r>
    </w:p>
    <w:p w14:paraId="46EC294E">
      <w:pPr>
        <w:spacing w:after="96" w:afterLines="40" w:line="400" w:lineRule="exact"/>
        <w:ind w:firstLine="420" w:firstLineChars="200"/>
        <w:rPr>
          <w:rFonts w:hint="eastAsia" w:ascii="宋体" w:hAnsi="宋体" w:eastAsia="宋体" w:cs="宋体"/>
          <w:color w:val="auto"/>
          <w:szCs w:val="21"/>
          <w:u w:val="none"/>
        </w:rPr>
      </w:pPr>
      <w:r>
        <w:rPr>
          <w:rFonts w:hint="eastAsia" w:ascii="宋体" w:hAnsi="宋体" w:eastAsia="宋体" w:cs="宋体"/>
          <w:color w:val="auto"/>
          <w:szCs w:val="21"/>
        </w:rPr>
        <w:t>（4）报价要求：</w:t>
      </w:r>
      <w:r>
        <w:rPr>
          <w:rFonts w:hint="eastAsia" w:ascii="宋体" w:hAnsi="宋体" w:eastAsia="宋体" w:cs="宋体"/>
          <w:color w:val="auto"/>
          <w:szCs w:val="21"/>
          <w:u w:val="none"/>
        </w:rPr>
        <w:t>服务人员费用（含工资、社保费、劳保、意外伤害保险、福利等）、办公费用（含通讯费、办公用品、培训费、维修费等）、洗涤设备、运输设备、装卸费、管理费、利润、税费等完成合同所需的一切本身和不可或缺的所有开支、政策性文件规定的合同包含的所有风险、责任等各项全部费用的总和（</w:t>
      </w:r>
      <w:r>
        <w:rPr>
          <w:rFonts w:hint="eastAsia" w:ascii="宋体" w:hAnsi="宋体" w:eastAsia="宋体" w:cs="宋体"/>
          <w:color w:val="auto"/>
          <w:szCs w:val="21"/>
          <w:u w:val="none"/>
          <w:lang w:val="en-US" w:eastAsia="zh-CN"/>
        </w:rPr>
        <w:t>甲方</w:t>
      </w:r>
      <w:r>
        <w:rPr>
          <w:rFonts w:hint="eastAsia" w:ascii="宋体" w:hAnsi="宋体" w:eastAsia="宋体" w:cs="宋体"/>
          <w:color w:val="auto"/>
          <w:szCs w:val="21"/>
          <w:u w:val="none"/>
        </w:rPr>
        <w:t>不再向</w:t>
      </w:r>
      <w:r>
        <w:rPr>
          <w:rFonts w:hint="eastAsia" w:ascii="宋体" w:hAnsi="宋体" w:eastAsia="宋体" w:cs="宋体"/>
          <w:color w:val="auto"/>
          <w:szCs w:val="21"/>
          <w:u w:val="none"/>
          <w:lang w:val="en-US" w:eastAsia="zh-CN"/>
        </w:rPr>
        <w:t>乙方</w:t>
      </w:r>
      <w:r>
        <w:rPr>
          <w:rFonts w:hint="eastAsia" w:ascii="宋体" w:hAnsi="宋体" w:eastAsia="宋体" w:cs="宋体"/>
          <w:color w:val="auto"/>
          <w:szCs w:val="21"/>
          <w:u w:val="none"/>
        </w:rPr>
        <w:t>支付其投标报价之外的任何费用）。</w:t>
      </w:r>
    </w:p>
    <w:p w14:paraId="5F826973">
      <w:pPr>
        <w:numPr>
          <w:ilvl w:val="0"/>
          <w:numId w:val="9"/>
        </w:numPr>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采购标的清单</w:t>
      </w:r>
    </w:p>
    <w:tbl>
      <w:tblPr>
        <w:tblStyle w:val="4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0"/>
        <w:gridCol w:w="1813"/>
        <w:gridCol w:w="2156"/>
        <w:gridCol w:w="1442"/>
        <w:gridCol w:w="1853"/>
        <w:gridCol w:w="1728"/>
      </w:tblGrid>
      <w:tr w14:paraId="6F529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487" w:type="pct"/>
            <w:noWrap w:val="0"/>
            <w:vAlign w:val="center"/>
          </w:tcPr>
          <w:p w14:paraId="54EB7A3D">
            <w:pPr>
              <w:spacing w:line="400" w:lineRule="exact"/>
              <w:jc w:val="center"/>
              <w:rPr>
                <w:rFonts w:hint="eastAsia" w:ascii="宋体" w:hAnsi="宋体" w:eastAsia="宋体" w:cs="宋体"/>
                <w:color w:val="auto"/>
                <w:szCs w:val="21"/>
              </w:rPr>
            </w:pPr>
            <w:r>
              <w:rPr>
                <w:rFonts w:hint="eastAsia" w:ascii="宋体" w:hAnsi="宋体" w:eastAsia="宋体" w:cs="宋体"/>
                <w:color w:val="auto"/>
                <w:szCs w:val="21"/>
              </w:rPr>
              <w:t>序号</w:t>
            </w:r>
          </w:p>
        </w:tc>
        <w:tc>
          <w:tcPr>
            <w:tcW w:w="910" w:type="pct"/>
            <w:noWrap w:val="0"/>
            <w:vAlign w:val="center"/>
          </w:tcPr>
          <w:p w14:paraId="463C9472">
            <w:pPr>
              <w:spacing w:line="400" w:lineRule="exact"/>
              <w:jc w:val="center"/>
              <w:rPr>
                <w:rFonts w:hint="eastAsia" w:ascii="宋体" w:hAnsi="宋体" w:eastAsia="宋体" w:cs="宋体"/>
                <w:color w:val="auto"/>
                <w:szCs w:val="21"/>
              </w:rPr>
            </w:pPr>
            <w:r>
              <w:rPr>
                <w:rFonts w:hint="eastAsia" w:ascii="宋体" w:hAnsi="宋体" w:eastAsia="宋体" w:cs="宋体"/>
                <w:color w:val="auto"/>
                <w:szCs w:val="21"/>
              </w:rPr>
              <w:t>名称</w:t>
            </w:r>
          </w:p>
        </w:tc>
        <w:tc>
          <w:tcPr>
            <w:tcW w:w="1082" w:type="pct"/>
            <w:noWrap w:val="0"/>
            <w:vAlign w:val="center"/>
          </w:tcPr>
          <w:p w14:paraId="5EDF509B">
            <w:pPr>
              <w:spacing w:line="40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lang w:val="en-US" w:eastAsia="zh-CN"/>
              </w:rPr>
              <w:t>规格</w:t>
            </w:r>
          </w:p>
        </w:tc>
        <w:tc>
          <w:tcPr>
            <w:tcW w:w="724" w:type="pct"/>
            <w:shd w:val="clear" w:color="auto" w:fill="auto"/>
            <w:noWrap w:val="0"/>
            <w:vAlign w:val="center"/>
          </w:tcPr>
          <w:p w14:paraId="2CC6B299">
            <w:pPr>
              <w:spacing w:line="40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单位</w:t>
            </w:r>
          </w:p>
        </w:tc>
        <w:tc>
          <w:tcPr>
            <w:tcW w:w="930" w:type="pct"/>
            <w:shd w:val="clear" w:color="auto" w:fill="auto"/>
            <w:noWrap w:val="0"/>
            <w:vAlign w:val="center"/>
          </w:tcPr>
          <w:p w14:paraId="6C6BB170">
            <w:pPr>
              <w:spacing w:line="40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单价(元）</w:t>
            </w:r>
          </w:p>
        </w:tc>
        <w:tc>
          <w:tcPr>
            <w:tcW w:w="864" w:type="pct"/>
            <w:noWrap w:val="0"/>
            <w:vAlign w:val="center"/>
          </w:tcPr>
          <w:p w14:paraId="5FBC6565">
            <w:pPr>
              <w:spacing w:line="400" w:lineRule="exact"/>
              <w:jc w:val="center"/>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备注</w:t>
            </w:r>
          </w:p>
        </w:tc>
      </w:tr>
      <w:tr w14:paraId="0AE1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487" w:type="pct"/>
            <w:noWrap w:val="0"/>
            <w:vAlign w:val="center"/>
          </w:tcPr>
          <w:p w14:paraId="63AFC561">
            <w:pPr>
              <w:spacing w:line="400" w:lineRule="exact"/>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910" w:type="pct"/>
            <w:noWrap w:val="0"/>
            <w:vAlign w:val="center"/>
          </w:tcPr>
          <w:p w14:paraId="16184E54">
            <w:pPr>
              <w:spacing w:line="400" w:lineRule="exact"/>
              <w:rPr>
                <w:rFonts w:hint="eastAsia" w:ascii="宋体" w:hAnsi="宋体" w:eastAsia="宋体" w:cs="宋体"/>
                <w:color w:val="auto"/>
                <w:szCs w:val="21"/>
              </w:rPr>
            </w:pPr>
          </w:p>
        </w:tc>
        <w:tc>
          <w:tcPr>
            <w:tcW w:w="1082" w:type="pct"/>
            <w:noWrap w:val="0"/>
            <w:vAlign w:val="center"/>
          </w:tcPr>
          <w:p w14:paraId="7EAACBBE">
            <w:pPr>
              <w:spacing w:line="400" w:lineRule="exact"/>
              <w:jc w:val="center"/>
              <w:rPr>
                <w:rFonts w:hint="eastAsia" w:ascii="宋体" w:hAnsi="宋体" w:eastAsia="宋体" w:cs="宋体"/>
                <w:color w:val="auto"/>
                <w:szCs w:val="21"/>
              </w:rPr>
            </w:pPr>
          </w:p>
        </w:tc>
        <w:tc>
          <w:tcPr>
            <w:tcW w:w="724" w:type="pct"/>
            <w:noWrap w:val="0"/>
            <w:vAlign w:val="center"/>
          </w:tcPr>
          <w:p w14:paraId="5A417F56">
            <w:pPr>
              <w:spacing w:line="400" w:lineRule="exact"/>
              <w:jc w:val="center"/>
              <w:rPr>
                <w:rFonts w:hint="eastAsia" w:ascii="宋体" w:hAnsi="宋体" w:eastAsia="宋体" w:cs="宋体"/>
                <w:color w:val="auto"/>
                <w:szCs w:val="21"/>
              </w:rPr>
            </w:pPr>
          </w:p>
        </w:tc>
        <w:tc>
          <w:tcPr>
            <w:tcW w:w="930" w:type="pct"/>
            <w:noWrap w:val="0"/>
            <w:vAlign w:val="center"/>
          </w:tcPr>
          <w:p w14:paraId="7E8F1B43">
            <w:pPr>
              <w:spacing w:line="400" w:lineRule="exact"/>
              <w:jc w:val="center"/>
              <w:rPr>
                <w:rFonts w:hint="eastAsia" w:ascii="宋体" w:hAnsi="宋体" w:eastAsia="宋体" w:cs="宋体"/>
                <w:color w:val="auto"/>
                <w:szCs w:val="21"/>
              </w:rPr>
            </w:pPr>
          </w:p>
        </w:tc>
        <w:tc>
          <w:tcPr>
            <w:tcW w:w="864" w:type="pct"/>
            <w:noWrap w:val="0"/>
            <w:vAlign w:val="center"/>
          </w:tcPr>
          <w:p w14:paraId="3C4962E9">
            <w:pPr>
              <w:spacing w:line="400" w:lineRule="exact"/>
              <w:jc w:val="center"/>
              <w:rPr>
                <w:rFonts w:hint="eastAsia" w:ascii="宋体" w:hAnsi="宋体" w:eastAsia="宋体" w:cs="宋体"/>
                <w:color w:val="auto"/>
                <w:szCs w:val="21"/>
              </w:rPr>
            </w:pPr>
          </w:p>
        </w:tc>
      </w:tr>
      <w:tr w14:paraId="6C36F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487" w:type="pct"/>
            <w:noWrap w:val="0"/>
            <w:vAlign w:val="center"/>
          </w:tcPr>
          <w:p w14:paraId="58E702A6">
            <w:pPr>
              <w:spacing w:line="400" w:lineRule="exact"/>
              <w:jc w:val="center"/>
              <w:rPr>
                <w:rFonts w:hint="eastAsia" w:ascii="宋体" w:hAnsi="宋体" w:eastAsia="宋体" w:cs="宋体"/>
                <w:color w:val="auto"/>
                <w:szCs w:val="21"/>
              </w:rPr>
            </w:pPr>
          </w:p>
        </w:tc>
        <w:tc>
          <w:tcPr>
            <w:tcW w:w="910" w:type="pct"/>
            <w:noWrap w:val="0"/>
            <w:vAlign w:val="center"/>
          </w:tcPr>
          <w:p w14:paraId="34A9DBC1">
            <w:pPr>
              <w:spacing w:line="400" w:lineRule="exact"/>
              <w:rPr>
                <w:rFonts w:hint="eastAsia" w:ascii="宋体" w:hAnsi="宋体" w:eastAsia="宋体" w:cs="宋体"/>
                <w:color w:val="auto"/>
                <w:szCs w:val="21"/>
              </w:rPr>
            </w:pPr>
          </w:p>
        </w:tc>
        <w:tc>
          <w:tcPr>
            <w:tcW w:w="1082" w:type="pct"/>
            <w:noWrap w:val="0"/>
            <w:vAlign w:val="center"/>
          </w:tcPr>
          <w:p w14:paraId="0B05D3B9">
            <w:pPr>
              <w:spacing w:line="400" w:lineRule="exact"/>
              <w:jc w:val="center"/>
              <w:rPr>
                <w:rFonts w:hint="eastAsia" w:ascii="宋体" w:hAnsi="宋体" w:eastAsia="宋体" w:cs="宋体"/>
                <w:color w:val="auto"/>
                <w:szCs w:val="21"/>
              </w:rPr>
            </w:pPr>
          </w:p>
        </w:tc>
        <w:tc>
          <w:tcPr>
            <w:tcW w:w="724" w:type="pct"/>
            <w:noWrap w:val="0"/>
            <w:vAlign w:val="center"/>
          </w:tcPr>
          <w:p w14:paraId="20D3B30C">
            <w:pPr>
              <w:spacing w:line="400" w:lineRule="exact"/>
              <w:jc w:val="center"/>
              <w:rPr>
                <w:rFonts w:hint="eastAsia" w:ascii="宋体" w:hAnsi="宋体" w:eastAsia="宋体" w:cs="宋体"/>
                <w:color w:val="auto"/>
                <w:szCs w:val="21"/>
              </w:rPr>
            </w:pPr>
          </w:p>
        </w:tc>
        <w:tc>
          <w:tcPr>
            <w:tcW w:w="930" w:type="pct"/>
            <w:noWrap w:val="0"/>
            <w:vAlign w:val="center"/>
          </w:tcPr>
          <w:p w14:paraId="61DF4CFE">
            <w:pPr>
              <w:spacing w:line="400" w:lineRule="exact"/>
              <w:jc w:val="center"/>
              <w:rPr>
                <w:rFonts w:hint="eastAsia" w:ascii="宋体" w:hAnsi="宋体" w:eastAsia="宋体" w:cs="宋体"/>
                <w:color w:val="auto"/>
                <w:szCs w:val="21"/>
              </w:rPr>
            </w:pPr>
          </w:p>
        </w:tc>
        <w:tc>
          <w:tcPr>
            <w:tcW w:w="864" w:type="pct"/>
            <w:noWrap w:val="0"/>
            <w:vAlign w:val="center"/>
          </w:tcPr>
          <w:p w14:paraId="7FCCFA7B">
            <w:pPr>
              <w:spacing w:line="400" w:lineRule="exact"/>
              <w:jc w:val="center"/>
              <w:rPr>
                <w:rFonts w:hint="eastAsia" w:ascii="宋体" w:hAnsi="宋体" w:eastAsia="宋体" w:cs="宋体"/>
                <w:color w:val="auto"/>
                <w:szCs w:val="21"/>
              </w:rPr>
            </w:pPr>
          </w:p>
        </w:tc>
      </w:tr>
      <w:tr w14:paraId="2E8CC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5000" w:type="pct"/>
            <w:gridSpan w:val="6"/>
            <w:noWrap w:val="0"/>
            <w:vAlign w:val="center"/>
          </w:tcPr>
          <w:p w14:paraId="5E13245E">
            <w:pPr>
              <w:spacing w:line="400" w:lineRule="exac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备注：最终结算以实际洗涤量为准。</w:t>
            </w:r>
          </w:p>
        </w:tc>
      </w:tr>
    </w:tbl>
    <w:p w14:paraId="72DE628F">
      <w:pPr>
        <w:spacing w:after="96" w:afterLines="40" w:line="40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第二条 质量保证</w:t>
      </w:r>
    </w:p>
    <w:p w14:paraId="6528756A">
      <w:pPr>
        <w:numPr>
          <w:ilvl w:val="0"/>
          <w:numId w:val="0"/>
        </w:numPr>
        <w:snapToGrid w:val="0"/>
        <w:spacing w:line="400" w:lineRule="exact"/>
        <w:ind w:firstLine="420" w:firstLineChars="200"/>
        <w:rPr>
          <w:rFonts w:hint="eastAsia" w:ascii="宋体" w:hAnsi="宋体" w:eastAsia="宋体" w:cs="宋体"/>
          <w:color w:val="auto"/>
          <w:szCs w:val="21"/>
        </w:rPr>
      </w:pPr>
      <w:r>
        <w:rPr>
          <w:rFonts w:hint="eastAsia" w:ascii="宋体" w:hAnsi="宋体" w:cs="宋体"/>
          <w:color w:val="auto"/>
          <w:szCs w:val="21"/>
          <w:lang w:val="en-US" w:eastAsia="zh-CN"/>
        </w:rPr>
        <w:t>1.</w:t>
      </w:r>
      <w:r>
        <w:rPr>
          <w:rFonts w:hint="eastAsia" w:ascii="宋体" w:hAnsi="宋体" w:eastAsia="宋体" w:cs="宋体"/>
          <w:color w:val="auto"/>
          <w:szCs w:val="21"/>
        </w:rPr>
        <w:t>乙方洗衣房管理、衣物收送、洗涤消毒</w:t>
      </w:r>
      <w:r>
        <w:rPr>
          <w:rFonts w:hint="eastAsia" w:ascii="宋体" w:hAnsi="宋体" w:cs="宋体"/>
          <w:color w:val="auto"/>
          <w:szCs w:val="21"/>
          <w:lang w:val="en-US" w:eastAsia="zh-CN"/>
        </w:rPr>
        <w:t>用品等</w:t>
      </w:r>
      <w:r>
        <w:rPr>
          <w:rFonts w:hint="eastAsia" w:ascii="宋体" w:hAnsi="宋体" w:eastAsia="宋体" w:cs="宋体"/>
          <w:color w:val="auto"/>
          <w:szCs w:val="21"/>
        </w:rPr>
        <w:t>应严格执行国家卫生行政管理部门颁布的《医院医用织物洗涤消毒技术规范》（WS/T 508-2016）及《医疗机构消毒技术规范》（WS/T 367-2012）等要求。若相关规范有更新，应按照最新的相关规范执行。</w:t>
      </w:r>
    </w:p>
    <w:p w14:paraId="22D810A8">
      <w:pPr>
        <w:spacing w:before="220" w:line="376" w:lineRule="auto"/>
        <w:ind w:left="128" w:right="4" w:firstLine="449"/>
        <w:rPr>
          <w:rFonts w:hint="eastAsia" w:ascii="宋体" w:hAnsi="宋体" w:eastAsia="宋体" w:cs="宋体"/>
          <w:color w:val="auto"/>
          <w:szCs w:val="21"/>
        </w:rPr>
      </w:pPr>
      <w:r>
        <w:rPr>
          <w:rFonts w:hint="eastAsia" w:ascii="宋体" w:hAnsi="宋体" w:eastAsia="宋体" w:cs="宋体"/>
          <w:color w:val="auto"/>
          <w:spacing w:val="-4"/>
          <w:sz w:val="21"/>
          <w:szCs w:val="21"/>
          <w:highlight w:val="none"/>
          <w:lang w:val="en-US" w:eastAsia="zh-CN"/>
        </w:rPr>
        <w:t>2.</w:t>
      </w:r>
      <w:r>
        <w:rPr>
          <w:rFonts w:ascii="宋体" w:hAnsi="宋体" w:eastAsia="宋体" w:cs="宋体"/>
          <w:color w:val="auto"/>
          <w:spacing w:val="-4"/>
          <w:sz w:val="21"/>
          <w:szCs w:val="21"/>
          <w:highlight w:val="none"/>
        </w:rPr>
        <w:t>洗涤必须严格遵守卫生行政管理部门有关规定及洗衣房洗涤消毒工作制度，在洗涤被污染的布</w:t>
      </w:r>
      <w:r>
        <w:rPr>
          <w:rFonts w:ascii="宋体" w:hAnsi="宋体" w:eastAsia="宋体" w:cs="宋体"/>
          <w:color w:val="auto"/>
          <w:spacing w:val="-2"/>
          <w:sz w:val="21"/>
          <w:szCs w:val="21"/>
          <w:highlight w:val="none"/>
        </w:rPr>
        <w:t>草前，应先用消毒剂按配比进行浸泡</w:t>
      </w:r>
      <w:r>
        <w:rPr>
          <w:rFonts w:ascii="宋体" w:hAnsi="宋体" w:eastAsia="宋体" w:cs="宋体"/>
          <w:color w:val="auto"/>
          <w:spacing w:val="-36"/>
          <w:sz w:val="21"/>
          <w:szCs w:val="21"/>
          <w:highlight w:val="none"/>
        </w:rPr>
        <w:t xml:space="preserve"> </w:t>
      </w:r>
      <w:r>
        <w:rPr>
          <w:rFonts w:ascii="宋体" w:hAnsi="宋体" w:eastAsia="宋体" w:cs="宋体"/>
          <w:color w:val="auto"/>
          <w:spacing w:val="-2"/>
          <w:sz w:val="21"/>
          <w:szCs w:val="21"/>
          <w:highlight w:val="none"/>
        </w:rPr>
        <w:t>30</w:t>
      </w:r>
      <w:r>
        <w:rPr>
          <w:rFonts w:ascii="宋体" w:hAnsi="宋体" w:eastAsia="宋体" w:cs="宋体"/>
          <w:color w:val="auto"/>
          <w:spacing w:val="-43"/>
          <w:sz w:val="21"/>
          <w:szCs w:val="21"/>
          <w:highlight w:val="none"/>
        </w:rPr>
        <w:t xml:space="preserve"> </w:t>
      </w:r>
      <w:r>
        <w:rPr>
          <w:rFonts w:ascii="宋体" w:hAnsi="宋体" w:eastAsia="宋体" w:cs="宋体"/>
          <w:color w:val="auto"/>
          <w:spacing w:val="-2"/>
          <w:sz w:val="21"/>
          <w:szCs w:val="21"/>
          <w:highlight w:val="none"/>
        </w:rPr>
        <w:t>分钟，然后用清水洗净，再投入机内按程序洗涤</w:t>
      </w:r>
      <w:r>
        <w:rPr>
          <w:rFonts w:ascii="宋体" w:hAnsi="宋体" w:eastAsia="宋体" w:cs="宋体"/>
          <w:color w:val="auto"/>
          <w:spacing w:val="-56"/>
          <w:sz w:val="21"/>
          <w:szCs w:val="21"/>
          <w:highlight w:val="none"/>
        </w:rPr>
        <w:t>，（</w:t>
      </w:r>
      <w:r>
        <w:rPr>
          <w:rFonts w:ascii="宋体" w:hAnsi="宋体" w:eastAsia="宋体" w:cs="宋体"/>
          <w:color w:val="auto"/>
          <w:spacing w:val="-2"/>
          <w:sz w:val="21"/>
          <w:szCs w:val="21"/>
          <w:highlight w:val="none"/>
        </w:rPr>
        <w:t>大便污染布、</w:t>
      </w:r>
      <w:r>
        <w:rPr>
          <w:rFonts w:ascii="宋体" w:hAnsi="宋体" w:eastAsia="宋体" w:cs="宋体"/>
          <w:color w:val="auto"/>
          <w:spacing w:val="1"/>
          <w:sz w:val="21"/>
          <w:szCs w:val="21"/>
          <w:highlight w:val="none"/>
        </w:rPr>
        <w:t>乙肝、艾滋等传染病布类，由使用科室通知洗涤服务机构，用红色袋子单独包装</w:t>
      </w:r>
      <w:r>
        <w:rPr>
          <w:rFonts w:ascii="宋体" w:hAnsi="宋体" w:eastAsia="宋体" w:cs="宋体"/>
          <w:color w:val="auto"/>
          <w:spacing w:val="-59"/>
          <w:sz w:val="21"/>
          <w:szCs w:val="21"/>
          <w:highlight w:val="none"/>
        </w:rPr>
        <w:t>）</w:t>
      </w:r>
      <w:r>
        <w:rPr>
          <w:rFonts w:ascii="宋体" w:hAnsi="宋体" w:eastAsia="宋体" w:cs="宋体"/>
          <w:color w:val="auto"/>
          <w:spacing w:val="30"/>
          <w:sz w:val="21"/>
          <w:szCs w:val="21"/>
          <w:highlight w:val="none"/>
        </w:rPr>
        <w:t xml:space="preserve"> </w:t>
      </w:r>
      <w:r>
        <w:rPr>
          <w:rFonts w:ascii="宋体" w:hAnsi="宋体" w:eastAsia="宋体" w:cs="宋体"/>
          <w:color w:val="auto"/>
          <w:spacing w:val="-59"/>
          <w:sz w:val="21"/>
          <w:szCs w:val="21"/>
          <w:highlight w:val="none"/>
        </w:rPr>
        <w:t>，</w:t>
      </w:r>
      <w:r>
        <w:rPr>
          <w:rFonts w:ascii="宋体" w:hAnsi="宋体" w:eastAsia="宋体" w:cs="宋体"/>
          <w:color w:val="auto"/>
          <w:spacing w:val="1"/>
          <w:sz w:val="21"/>
          <w:szCs w:val="21"/>
          <w:highlight w:val="none"/>
        </w:rPr>
        <w:t>分别浸泡蒸煮消毒</w:t>
      </w:r>
      <w:r>
        <w:rPr>
          <w:rFonts w:ascii="宋体" w:hAnsi="宋体" w:eastAsia="宋体" w:cs="宋体"/>
          <w:color w:val="auto"/>
          <w:spacing w:val="-4"/>
          <w:sz w:val="21"/>
          <w:szCs w:val="21"/>
          <w:highlight w:val="none"/>
        </w:rPr>
        <w:t>后再洗涤。布草的消毒洗涤必须遵守分类原则，医护工作服单独洗；小孩服、PICU</w:t>
      </w:r>
      <w:r>
        <w:rPr>
          <w:rFonts w:ascii="宋体" w:hAnsi="宋体" w:eastAsia="宋体" w:cs="宋体"/>
          <w:color w:val="auto"/>
          <w:spacing w:val="-43"/>
          <w:sz w:val="21"/>
          <w:szCs w:val="21"/>
          <w:highlight w:val="none"/>
        </w:rPr>
        <w:t xml:space="preserve"> </w:t>
      </w:r>
      <w:r>
        <w:rPr>
          <w:rFonts w:ascii="宋体" w:hAnsi="宋体" w:eastAsia="宋体" w:cs="宋体"/>
          <w:color w:val="auto"/>
          <w:spacing w:val="-4"/>
          <w:sz w:val="21"/>
          <w:szCs w:val="21"/>
          <w:highlight w:val="none"/>
        </w:rPr>
        <w:t>布类、康复中心布类</w:t>
      </w:r>
      <w:r>
        <w:rPr>
          <w:rFonts w:ascii="宋体" w:hAnsi="宋体" w:eastAsia="宋体" w:cs="宋体"/>
          <w:color w:val="auto"/>
          <w:sz w:val="21"/>
          <w:szCs w:val="21"/>
          <w:highlight w:val="none"/>
        </w:rPr>
        <w:t xml:space="preserve"> </w:t>
      </w:r>
      <w:r>
        <w:rPr>
          <w:rFonts w:ascii="宋体" w:hAnsi="宋体" w:eastAsia="宋体" w:cs="宋体"/>
          <w:color w:val="auto"/>
          <w:spacing w:val="-6"/>
          <w:sz w:val="21"/>
          <w:szCs w:val="21"/>
          <w:highlight w:val="none"/>
        </w:rPr>
        <w:t>等儿科布草单独洗；产科、妇科床单、大人病号服等妇产科布草单独洗；手术室布类单独洗（洗手衣除</w:t>
      </w:r>
      <w:r>
        <w:rPr>
          <w:rFonts w:ascii="宋体" w:hAnsi="宋体" w:eastAsia="宋体" w:cs="宋体"/>
          <w:color w:val="auto"/>
          <w:sz w:val="21"/>
          <w:szCs w:val="21"/>
          <w:highlight w:val="none"/>
        </w:rPr>
        <w:t xml:space="preserve"> </w:t>
      </w:r>
      <w:r>
        <w:rPr>
          <w:rFonts w:ascii="宋体" w:hAnsi="宋体" w:eastAsia="宋体" w:cs="宋体"/>
          <w:color w:val="auto"/>
          <w:spacing w:val="-53"/>
          <w:sz w:val="21"/>
          <w:szCs w:val="21"/>
          <w:highlight w:val="none"/>
        </w:rPr>
        <w:t>）</w:t>
      </w:r>
      <w:r>
        <w:rPr>
          <w:rFonts w:ascii="宋体" w:hAnsi="宋体" w:eastAsia="宋体" w:cs="宋体"/>
          <w:color w:val="auto"/>
          <w:spacing w:val="31"/>
          <w:sz w:val="21"/>
          <w:szCs w:val="21"/>
          <w:highlight w:val="none"/>
        </w:rPr>
        <w:t xml:space="preserve"> </w:t>
      </w:r>
      <w:r>
        <w:rPr>
          <w:rFonts w:ascii="宋体" w:hAnsi="宋体" w:eastAsia="宋体" w:cs="宋体"/>
          <w:color w:val="auto"/>
          <w:spacing w:val="-53"/>
          <w:sz w:val="21"/>
          <w:szCs w:val="21"/>
          <w:highlight w:val="none"/>
        </w:rPr>
        <w:t>；</w:t>
      </w:r>
      <w:r>
        <w:rPr>
          <w:rFonts w:ascii="宋体" w:hAnsi="宋体" w:eastAsia="宋体" w:cs="宋体"/>
          <w:color w:val="auto"/>
          <w:spacing w:val="-9"/>
          <w:sz w:val="21"/>
          <w:szCs w:val="21"/>
          <w:highlight w:val="none"/>
        </w:rPr>
        <w:t>洗手衣单独洗；供应室白布单独洗；新生儿科、供应室、手术室等科室布类专机专洗。</w:t>
      </w:r>
    </w:p>
    <w:p w14:paraId="4C0DC25B">
      <w:pPr>
        <w:numPr>
          <w:ilvl w:val="0"/>
          <w:numId w:val="0"/>
        </w:numPr>
        <w:snapToGrid w:val="0"/>
        <w:spacing w:line="400" w:lineRule="exact"/>
        <w:ind w:firstLine="420" w:firstLineChars="200"/>
        <w:rPr>
          <w:rFonts w:hint="eastAsia" w:ascii="宋体" w:hAnsi="宋体" w:eastAsia="宋体" w:cs="宋体"/>
          <w:color w:val="auto"/>
          <w:szCs w:val="21"/>
        </w:rPr>
      </w:pPr>
      <w:r>
        <w:rPr>
          <w:rFonts w:hint="eastAsia" w:ascii="宋体" w:hAnsi="宋体" w:cs="宋体"/>
          <w:color w:val="auto"/>
          <w:szCs w:val="21"/>
          <w:lang w:val="en-US" w:eastAsia="zh-CN"/>
        </w:rPr>
        <w:t>3.</w:t>
      </w:r>
      <w:r>
        <w:rPr>
          <w:rFonts w:hint="eastAsia" w:ascii="宋体" w:hAnsi="宋体" w:eastAsia="宋体" w:cs="宋体"/>
          <w:color w:val="auto"/>
          <w:szCs w:val="21"/>
        </w:rPr>
        <w:t>乙方须承诺，为避免交叉感染，承担疾控的社会责任，不与宾馆、饭店类行业的洗涤物在同一区域同一车间内洗涤。</w:t>
      </w:r>
    </w:p>
    <w:p w14:paraId="747E7100">
      <w:pPr>
        <w:numPr>
          <w:ilvl w:val="0"/>
          <w:numId w:val="0"/>
        </w:numPr>
        <w:snapToGrid w:val="0"/>
        <w:spacing w:line="400" w:lineRule="exact"/>
        <w:ind w:firstLine="420" w:firstLineChars="200"/>
        <w:rPr>
          <w:rFonts w:hint="eastAsia" w:ascii="宋体" w:hAnsi="宋体" w:eastAsia="宋体" w:cs="宋体"/>
          <w:color w:val="auto"/>
          <w:szCs w:val="21"/>
        </w:rPr>
      </w:pPr>
      <w:r>
        <w:rPr>
          <w:rFonts w:hint="eastAsia" w:ascii="宋体" w:hAnsi="宋体" w:cs="宋体"/>
          <w:color w:val="auto"/>
          <w:szCs w:val="21"/>
          <w:lang w:val="en-US" w:eastAsia="zh-CN"/>
        </w:rPr>
        <w:t>4.</w:t>
      </w:r>
      <w:r>
        <w:rPr>
          <w:rFonts w:hint="eastAsia" w:ascii="宋体" w:hAnsi="宋体" w:eastAsia="宋体" w:cs="宋体"/>
          <w:color w:val="auto"/>
          <w:szCs w:val="21"/>
        </w:rPr>
        <w:t>洗涤用品应符合环保要求，使用不易破坏布草的洗涤剂、消毒剂，并符合WS/T 508-2016及国家有关卫生、环保标准，不得使用任何有害人体健康的洗涤设备和原料。</w:t>
      </w:r>
    </w:p>
    <w:p w14:paraId="4F7FC8B0">
      <w:pPr>
        <w:numPr>
          <w:ilvl w:val="0"/>
          <w:numId w:val="0"/>
        </w:numPr>
        <w:snapToGrid w:val="0"/>
        <w:spacing w:line="400" w:lineRule="exact"/>
        <w:ind w:firstLine="420" w:firstLineChars="200"/>
        <w:rPr>
          <w:rFonts w:hint="eastAsia" w:ascii="宋体" w:hAnsi="宋体" w:eastAsia="宋体" w:cs="宋体"/>
          <w:color w:val="auto"/>
          <w:szCs w:val="21"/>
        </w:rPr>
      </w:pPr>
      <w:r>
        <w:rPr>
          <w:rFonts w:hint="eastAsia" w:ascii="宋体" w:hAnsi="宋体" w:cs="宋体"/>
          <w:color w:val="auto"/>
          <w:szCs w:val="21"/>
          <w:lang w:val="en-US" w:eastAsia="zh-CN"/>
        </w:rPr>
        <w:t>5.</w:t>
      </w:r>
      <w:r>
        <w:rPr>
          <w:rFonts w:hint="eastAsia" w:ascii="宋体" w:hAnsi="宋体" w:eastAsia="宋体" w:cs="宋体"/>
          <w:color w:val="auto"/>
          <w:szCs w:val="21"/>
        </w:rPr>
        <w:t>乙方对有洞眼但未达到报废的布草进行缝补，缝补时要尽量用相同的布料，按布纹进行缝补，保持美观。对掉扣子、松紧带及时补钉、更换。</w:t>
      </w:r>
    </w:p>
    <w:p w14:paraId="036CFB47">
      <w:pPr>
        <w:numPr>
          <w:ilvl w:val="0"/>
          <w:numId w:val="0"/>
        </w:numPr>
        <w:snapToGrid w:val="0"/>
        <w:spacing w:line="400" w:lineRule="exact"/>
        <w:ind w:firstLine="420" w:firstLineChars="200"/>
        <w:rPr>
          <w:rFonts w:hint="eastAsia" w:ascii="宋体" w:hAnsi="宋体" w:eastAsia="宋体" w:cs="宋体"/>
          <w:color w:val="auto"/>
          <w:szCs w:val="21"/>
        </w:rPr>
      </w:pPr>
      <w:r>
        <w:rPr>
          <w:rFonts w:hint="eastAsia" w:ascii="宋体" w:hAnsi="宋体" w:cs="宋体"/>
          <w:color w:val="auto"/>
          <w:szCs w:val="21"/>
          <w:lang w:val="en-US" w:eastAsia="zh-CN"/>
        </w:rPr>
        <w:t>6.</w:t>
      </w:r>
      <w:r>
        <w:rPr>
          <w:rFonts w:hint="eastAsia" w:ascii="宋体" w:hAnsi="宋体" w:eastAsia="宋体" w:cs="宋体"/>
          <w:color w:val="auto"/>
          <w:szCs w:val="21"/>
        </w:rPr>
        <w:t>布草洗涤无异味、不脱色、不变形。达不到要求（留有污渍）的应重洗，但不重复计价。</w:t>
      </w:r>
    </w:p>
    <w:p w14:paraId="1A5E6DF2">
      <w:pPr>
        <w:numPr>
          <w:ilvl w:val="0"/>
          <w:numId w:val="0"/>
        </w:numPr>
        <w:snapToGrid w:val="0"/>
        <w:spacing w:line="400" w:lineRule="exact"/>
        <w:ind w:leftChars="200"/>
        <w:rPr>
          <w:rFonts w:hint="eastAsia" w:ascii="宋体" w:hAnsi="宋体" w:eastAsia="宋体" w:cs="宋体"/>
          <w:color w:val="auto"/>
          <w:szCs w:val="21"/>
        </w:rPr>
      </w:pPr>
      <w:r>
        <w:rPr>
          <w:rFonts w:hint="eastAsia" w:ascii="宋体" w:hAnsi="宋体" w:cs="宋体"/>
          <w:color w:val="auto"/>
          <w:szCs w:val="21"/>
          <w:lang w:val="en-US" w:eastAsia="zh-CN"/>
        </w:rPr>
        <w:t>7.</w:t>
      </w:r>
      <w:r>
        <w:rPr>
          <w:rFonts w:hint="eastAsia" w:ascii="宋体" w:hAnsi="宋体" w:eastAsia="宋体" w:cs="宋体"/>
          <w:color w:val="auto"/>
          <w:szCs w:val="21"/>
        </w:rPr>
        <w:t>每日收集至洗涤场所的布草须当天洗涤，不允许留在洗衣机里过夜。</w:t>
      </w:r>
    </w:p>
    <w:p w14:paraId="17E34E7A">
      <w:pPr>
        <w:numPr>
          <w:ilvl w:val="0"/>
          <w:numId w:val="0"/>
        </w:numPr>
        <w:snapToGrid w:val="0"/>
        <w:spacing w:line="400" w:lineRule="exact"/>
        <w:ind w:firstLine="420" w:firstLineChars="200"/>
        <w:rPr>
          <w:rFonts w:hint="eastAsia" w:ascii="宋体" w:hAnsi="宋体" w:eastAsia="宋体" w:cs="宋体"/>
          <w:color w:val="auto"/>
          <w:szCs w:val="21"/>
        </w:rPr>
      </w:pPr>
      <w:r>
        <w:rPr>
          <w:rFonts w:hint="eastAsia"/>
          <w:color w:val="auto"/>
          <w:highlight w:val="none"/>
          <w:lang w:val="en-US" w:eastAsia="zh-CN"/>
        </w:rPr>
        <w:t>8.</w:t>
      </w:r>
      <w:r>
        <w:rPr>
          <w:rFonts w:hint="eastAsia"/>
          <w:color w:val="auto"/>
          <w:highlight w:val="none"/>
        </w:rPr>
        <w:t>布草暂存点必须每天进行消毒并做好登记记录</w:t>
      </w:r>
      <w:r>
        <w:rPr>
          <w:rFonts w:hint="eastAsia"/>
          <w:color w:val="auto"/>
          <w:highlight w:val="none"/>
          <w:lang w:eastAsia="zh-CN"/>
        </w:rPr>
        <w:t>。</w:t>
      </w:r>
      <w:r>
        <w:rPr>
          <w:rFonts w:hint="eastAsia" w:ascii="宋体" w:hAnsi="宋体" w:eastAsia="宋体" w:cs="宋体"/>
          <w:color w:val="auto"/>
          <w:szCs w:val="21"/>
          <w:lang w:val="en-US" w:eastAsia="zh-CN"/>
        </w:rPr>
        <w:t>按照WS/T 508-2016《医用织物洗涤消毒技术规范》：要求 “医用织物应全程可追溯，记录保存至少6 个月，涵盖收送时间、洗涤参数、交接人员等关键信息</w:t>
      </w:r>
      <w:r>
        <w:rPr>
          <w:rFonts w:hint="eastAsia" w:ascii="宋体" w:hAnsi="宋体" w:eastAsia="宋体" w:cs="宋体"/>
          <w:color w:val="auto"/>
          <w:szCs w:val="21"/>
        </w:rPr>
        <w:t>，配备RFID追溯管理系统，对医院布草全生命周期进行追踪管理，实现洗涤过程、流转记录、质量监测等数据的实时查询与追溯。甲方不另行付费。</w:t>
      </w:r>
    </w:p>
    <w:p w14:paraId="01D6EED7">
      <w:pPr>
        <w:numPr>
          <w:ilvl w:val="0"/>
          <w:numId w:val="0"/>
        </w:numPr>
        <w:snapToGrid w:val="0"/>
        <w:spacing w:line="400" w:lineRule="exact"/>
        <w:ind w:leftChars="200"/>
        <w:rPr>
          <w:rFonts w:hint="eastAsia" w:ascii="宋体" w:hAnsi="宋体" w:eastAsia="宋体" w:cs="宋体"/>
          <w:color w:val="auto"/>
          <w:szCs w:val="21"/>
        </w:rPr>
      </w:pPr>
      <w:r>
        <w:rPr>
          <w:rFonts w:hint="eastAsia" w:ascii="宋体" w:hAnsi="宋体" w:cs="宋体"/>
          <w:color w:val="auto"/>
          <w:szCs w:val="21"/>
          <w:lang w:val="en-US" w:eastAsia="zh-CN"/>
        </w:rPr>
        <w:t>9.</w:t>
      </w:r>
      <w:r>
        <w:rPr>
          <w:rFonts w:hint="eastAsia" w:ascii="宋体" w:hAnsi="宋体" w:eastAsia="宋体" w:cs="宋体"/>
          <w:color w:val="auto"/>
          <w:szCs w:val="21"/>
        </w:rPr>
        <w:t>洗涤具体细则见《广西医科大学附属武鸣医院洗涤工作管理细则》。</w:t>
      </w:r>
    </w:p>
    <w:p w14:paraId="1312B9E2">
      <w:pPr>
        <w:numPr>
          <w:ilvl w:val="0"/>
          <w:numId w:val="0"/>
        </w:numPr>
        <w:snapToGrid w:val="0"/>
        <w:spacing w:line="400" w:lineRule="exact"/>
        <w:ind w:firstLine="420" w:firstLineChars="200"/>
        <w:rPr>
          <w:rFonts w:hint="eastAsia" w:ascii="宋体" w:hAnsi="宋体" w:eastAsia="宋体" w:cs="宋体"/>
          <w:color w:val="auto"/>
          <w:szCs w:val="21"/>
        </w:rPr>
      </w:pPr>
      <w:r>
        <w:rPr>
          <w:rFonts w:hint="eastAsia" w:ascii="宋体" w:hAnsi="宋体" w:cs="宋体"/>
          <w:color w:val="auto"/>
          <w:szCs w:val="21"/>
          <w:lang w:val="en-US" w:eastAsia="zh-CN"/>
        </w:rPr>
        <w:t>10.</w:t>
      </w:r>
      <w:r>
        <w:rPr>
          <w:rFonts w:hint="eastAsia" w:ascii="宋体" w:hAnsi="宋体" w:eastAsia="宋体" w:cs="宋体"/>
          <w:color w:val="auto"/>
          <w:szCs w:val="21"/>
        </w:rPr>
        <w:t>乙方须具备应对突发公共卫生事件（如疫情）的洗涤服务能力，按甲方感控要求进行洗涤，配合科室各种特殊、紧急的应急事务，达到感染控制质量标准。</w:t>
      </w:r>
    </w:p>
    <w:p w14:paraId="42B75473">
      <w:pPr>
        <w:numPr>
          <w:ilvl w:val="0"/>
          <w:numId w:val="0"/>
        </w:numPr>
        <w:snapToGrid w:val="0"/>
        <w:spacing w:line="400" w:lineRule="exact"/>
        <w:ind w:firstLine="420" w:firstLineChars="200"/>
        <w:rPr>
          <w:rFonts w:hint="eastAsia" w:ascii="宋体" w:hAnsi="宋体" w:eastAsia="宋体" w:cs="宋体"/>
          <w:b/>
          <w:bCs/>
          <w:color w:val="auto"/>
          <w:szCs w:val="21"/>
        </w:rPr>
      </w:pPr>
      <w:r>
        <w:rPr>
          <w:rFonts w:hint="eastAsia" w:ascii="宋体" w:hAnsi="宋体" w:cs="宋体"/>
          <w:b w:val="0"/>
          <w:bCs w:val="0"/>
          <w:color w:val="auto"/>
          <w:szCs w:val="21"/>
          <w:lang w:val="en-US" w:eastAsia="zh-CN"/>
        </w:rPr>
        <w:t>11.</w:t>
      </w:r>
      <w:r>
        <w:rPr>
          <w:rFonts w:hint="eastAsia" w:ascii="宋体" w:hAnsi="宋体" w:eastAsia="宋体" w:cs="宋体"/>
          <w:b w:val="0"/>
          <w:bCs w:val="0"/>
          <w:color w:val="auto"/>
          <w:szCs w:val="21"/>
        </w:rPr>
        <w:t>乙</w:t>
      </w:r>
      <w:r>
        <w:rPr>
          <w:rFonts w:hint="eastAsia" w:ascii="宋体" w:hAnsi="宋体" w:eastAsia="宋体" w:cs="宋体"/>
          <w:color w:val="auto"/>
          <w:szCs w:val="21"/>
        </w:rPr>
        <w:t>方交付的洗涤成果各项指标均达到公告规定、采购文件或投标文件承诺的质量要求。</w:t>
      </w:r>
    </w:p>
    <w:p w14:paraId="348A44B2">
      <w:pPr>
        <w:numPr>
          <w:ilvl w:val="0"/>
          <w:numId w:val="0"/>
        </w:numPr>
        <w:spacing w:line="440" w:lineRule="exact"/>
        <w:ind w:firstLine="420" w:firstLineChars="200"/>
        <w:rPr>
          <w:rFonts w:hint="eastAsia"/>
          <w:color w:val="auto"/>
          <w:highlight w:val="none"/>
        </w:rPr>
      </w:pPr>
      <w:r>
        <w:rPr>
          <w:rFonts w:hint="eastAsia"/>
          <w:color w:val="auto"/>
          <w:highlight w:val="none"/>
          <w:lang w:val="en-US" w:eastAsia="zh-CN"/>
        </w:rPr>
        <w:t>12.</w:t>
      </w:r>
      <w:r>
        <w:rPr>
          <w:rFonts w:hint="eastAsia"/>
          <w:color w:val="auto"/>
          <w:highlight w:val="none"/>
        </w:rPr>
        <w:t>洗涤后的布草、衣物干净，无任何污渍残留；按布草、衣物类别要求熨烫平整、保持挺括、烫迹分明、不留极光和水迹；不能出现因洗涤造成的变形、串色、脱色、织物发硬、起毛、划伤、破损等现象</w:t>
      </w:r>
      <w:r>
        <w:rPr>
          <w:rFonts w:hint="eastAsia"/>
          <w:color w:val="auto"/>
          <w:highlight w:val="none"/>
          <w:lang w:eastAsia="zh-CN"/>
        </w:rPr>
        <w:t>，</w:t>
      </w:r>
      <w:r>
        <w:rPr>
          <w:rFonts w:hint="eastAsia"/>
          <w:color w:val="auto"/>
          <w:highlight w:val="none"/>
        </w:rPr>
        <w:t>无残留异味</w:t>
      </w:r>
      <w:r>
        <w:rPr>
          <w:rFonts w:hint="eastAsia"/>
          <w:color w:val="auto"/>
          <w:highlight w:val="none"/>
          <w:lang w:eastAsia="zh-CN"/>
        </w:rPr>
        <w:t>，</w:t>
      </w:r>
      <w:r>
        <w:rPr>
          <w:rFonts w:hint="eastAsia"/>
          <w:color w:val="auto"/>
          <w:highlight w:val="none"/>
        </w:rPr>
        <w:t>纽扣饰物保持原状并完整无缺失</w:t>
      </w:r>
      <w:r>
        <w:rPr>
          <w:rFonts w:hint="eastAsia"/>
          <w:color w:val="auto"/>
          <w:highlight w:val="none"/>
          <w:lang w:eastAsia="zh-CN"/>
        </w:rPr>
        <w:t>，</w:t>
      </w:r>
      <w:r>
        <w:rPr>
          <w:rFonts w:hint="eastAsia"/>
          <w:color w:val="auto"/>
          <w:highlight w:val="none"/>
        </w:rPr>
        <w:t>不宜折叠的成品不得折叠运送，应使用衣架</w:t>
      </w:r>
      <w:r>
        <w:rPr>
          <w:rFonts w:hint="eastAsia"/>
          <w:color w:val="auto"/>
          <w:highlight w:val="none"/>
          <w:lang w:eastAsia="zh-CN"/>
        </w:rPr>
        <w:t>，</w:t>
      </w:r>
      <w:r>
        <w:rPr>
          <w:rFonts w:hint="eastAsia"/>
          <w:color w:val="auto"/>
          <w:highlight w:val="none"/>
        </w:rPr>
        <w:t>所有客衣均应有专用衣袋包装。收、送洗涤物品过程中应使用专用包装布包装。</w:t>
      </w:r>
    </w:p>
    <w:p w14:paraId="65708882">
      <w:pPr>
        <w:pStyle w:val="2"/>
        <w:rPr>
          <w:rFonts w:hint="eastAsia"/>
          <w:color w:val="auto"/>
        </w:rPr>
      </w:pPr>
    </w:p>
    <w:p w14:paraId="31DC6336">
      <w:pPr>
        <w:numPr>
          <w:ilvl w:val="0"/>
          <w:numId w:val="10"/>
        </w:numPr>
        <w:spacing w:after="96" w:afterLines="40" w:line="40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甲方权利及义务</w:t>
      </w:r>
    </w:p>
    <w:p w14:paraId="0C68ED5D">
      <w:pPr>
        <w:numPr>
          <w:ilvl w:val="0"/>
          <w:numId w:val="11"/>
        </w:numPr>
        <w:spacing w:after="96" w:afterLines="40"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甲方有权对乙方在本项目中的服务行使监督权。</w:t>
      </w:r>
    </w:p>
    <w:p w14:paraId="5661B02C">
      <w:pPr>
        <w:numPr>
          <w:ilvl w:val="0"/>
          <w:numId w:val="11"/>
        </w:numPr>
        <w:spacing w:after="96" w:afterLines="40"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甲方有权定期对乙方的洗涤质量、洗涤用品、收送车辆、RFID系统使用情况进行抽查。</w:t>
      </w:r>
    </w:p>
    <w:p w14:paraId="027B7053">
      <w:pPr>
        <w:numPr>
          <w:ilvl w:val="0"/>
          <w:numId w:val="11"/>
        </w:numPr>
        <w:spacing w:after="96" w:afterLines="40"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甲方有权对洗涤消毒技术提供指导。</w:t>
      </w:r>
    </w:p>
    <w:p w14:paraId="44888C13">
      <w:pPr>
        <w:numPr>
          <w:ilvl w:val="0"/>
          <w:numId w:val="11"/>
        </w:numPr>
        <w:spacing w:after="96" w:afterLines="40"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乙方必须满足甲方每日所需被服量的洗涤业务，如果甲方发现乙方在未完成甲方被服洗涤及满足供应的情况下，承接甲方以外的洗涤业务，甲方有权解除合同。</w:t>
      </w:r>
    </w:p>
    <w:p w14:paraId="1FD4C52E">
      <w:pPr>
        <w:numPr>
          <w:ilvl w:val="0"/>
          <w:numId w:val="11"/>
        </w:numPr>
        <w:spacing w:after="96" w:afterLines="40"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如有紧急疫情发生，有权要求乙方配合甲方完成各项洗涤工作。</w:t>
      </w:r>
    </w:p>
    <w:p w14:paraId="30429F2D">
      <w:pPr>
        <w:numPr>
          <w:ilvl w:val="0"/>
          <w:numId w:val="11"/>
        </w:numPr>
        <w:spacing w:after="96" w:afterLines="40"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按时向乙方支付洗涤费用。</w:t>
      </w:r>
    </w:p>
    <w:p w14:paraId="34FDAAD3">
      <w:pPr>
        <w:numPr>
          <w:ilvl w:val="0"/>
          <w:numId w:val="11"/>
        </w:numPr>
        <w:spacing w:after="96" w:afterLines="40"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甲方为乙方提供一间约20平方米的房间，作为转运布草的场地。场地的水电费从洗涤费中扣除，布局装修改造费由乙方支付。</w:t>
      </w:r>
    </w:p>
    <w:p w14:paraId="251E82D9">
      <w:pPr>
        <w:numPr>
          <w:ilvl w:val="0"/>
          <w:numId w:val="11"/>
        </w:numPr>
        <w:spacing w:after="96" w:afterLines="40"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甲方在督查中发现乙方派驻的负责人管理不当或不能胜任管理工作时，经提出三次整改依然无改变的，甲方有权要求乙方进行撤换。如不及时撤换，甲方有权按管理细则进行处罚。</w:t>
      </w:r>
    </w:p>
    <w:p w14:paraId="27BFE61A">
      <w:pPr>
        <w:numPr>
          <w:ilvl w:val="-1"/>
          <w:numId w:val="0"/>
        </w:numPr>
        <w:spacing w:before="190" w:after="0" w:afterLines="-2147483648" w:line="310" w:lineRule="auto"/>
        <w:ind w:left="110" w:leftChars="0" w:right="104" w:firstLine="422" w:firstLineChars="201"/>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9.</w:t>
      </w:r>
      <w:r>
        <w:rPr>
          <w:rFonts w:hint="eastAsia" w:ascii="宋体" w:hAnsi="宋体" w:eastAsia="宋体" w:cs="宋体"/>
          <w:color w:val="auto"/>
          <w:kern w:val="2"/>
          <w:sz w:val="21"/>
          <w:szCs w:val="21"/>
          <w:lang w:val="en-US" w:eastAsia="zh-CN" w:bidi="ar-SA"/>
        </w:rPr>
        <w:t>甲方每月对布草洗涤质量进行满意度测评（详见附件《广西医科大学附属武鸣医院洗涤工作质量考核表》），要求每月的平均分≥85分</w:t>
      </w:r>
      <w:r>
        <w:rPr>
          <w:rFonts w:ascii="宋体" w:hAnsi="宋体" w:eastAsia="宋体" w:cs="宋体"/>
          <w:color w:val="auto"/>
          <w:spacing w:val="-4"/>
          <w:sz w:val="21"/>
          <w:szCs w:val="21"/>
          <w:highlight w:val="none"/>
        </w:rPr>
        <w:t>，如＜85</w:t>
      </w:r>
      <w:r>
        <w:rPr>
          <w:rFonts w:ascii="宋体" w:hAnsi="宋体" w:eastAsia="宋体" w:cs="宋体"/>
          <w:color w:val="auto"/>
          <w:spacing w:val="-41"/>
          <w:sz w:val="21"/>
          <w:szCs w:val="21"/>
          <w:highlight w:val="none"/>
        </w:rPr>
        <w:t xml:space="preserve"> </w:t>
      </w:r>
      <w:r>
        <w:rPr>
          <w:rFonts w:ascii="宋体" w:hAnsi="宋体" w:eastAsia="宋体" w:cs="宋体"/>
          <w:color w:val="auto"/>
          <w:spacing w:val="-4"/>
          <w:sz w:val="21"/>
          <w:szCs w:val="21"/>
          <w:highlight w:val="none"/>
        </w:rPr>
        <w:t>分，每低一分扣</w:t>
      </w:r>
      <w:r>
        <w:rPr>
          <w:rFonts w:ascii="宋体" w:hAnsi="宋体" w:eastAsia="宋体" w:cs="宋体"/>
          <w:color w:val="auto"/>
          <w:spacing w:val="-5"/>
          <w:sz w:val="21"/>
          <w:szCs w:val="21"/>
          <w:highlight w:val="none"/>
        </w:rPr>
        <w:t xml:space="preserve">500 元（即：=500×（85-X），X 表示实际得分）。 </w:t>
      </w:r>
      <w:r>
        <w:rPr>
          <w:rFonts w:ascii="宋体" w:hAnsi="宋体" w:eastAsia="宋体" w:cs="宋体"/>
          <w:color w:val="auto"/>
          <w:spacing w:val="-2"/>
          <w:sz w:val="21"/>
          <w:szCs w:val="21"/>
          <w:highlight w:val="none"/>
        </w:rPr>
        <w:t>连续三月测评均低于</w:t>
      </w:r>
      <w:r>
        <w:rPr>
          <w:rFonts w:ascii="宋体" w:hAnsi="宋体" w:eastAsia="宋体" w:cs="宋体"/>
          <w:color w:val="auto"/>
          <w:spacing w:val="-26"/>
          <w:sz w:val="21"/>
          <w:szCs w:val="21"/>
          <w:highlight w:val="none"/>
        </w:rPr>
        <w:t xml:space="preserve"> </w:t>
      </w:r>
      <w:r>
        <w:rPr>
          <w:rFonts w:ascii="宋体" w:hAnsi="宋体" w:eastAsia="宋体" w:cs="宋体"/>
          <w:color w:val="auto"/>
          <w:spacing w:val="-2"/>
          <w:sz w:val="21"/>
          <w:szCs w:val="21"/>
          <w:highlight w:val="none"/>
        </w:rPr>
        <w:t>85</w:t>
      </w:r>
      <w:r>
        <w:rPr>
          <w:rFonts w:ascii="宋体" w:hAnsi="宋体" w:eastAsia="宋体" w:cs="宋体"/>
          <w:color w:val="auto"/>
          <w:spacing w:val="-43"/>
          <w:sz w:val="21"/>
          <w:szCs w:val="21"/>
          <w:highlight w:val="none"/>
        </w:rPr>
        <w:t xml:space="preserve"> </w:t>
      </w:r>
      <w:r>
        <w:rPr>
          <w:rFonts w:ascii="宋体" w:hAnsi="宋体" w:eastAsia="宋体" w:cs="宋体"/>
          <w:color w:val="auto"/>
          <w:spacing w:val="-2"/>
          <w:sz w:val="21"/>
          <w:szCs w:val="21"/>
          <w:highlight w:val="none"/>
        </w:rPr>
        <w:t>分</w:t>
      </w:r>
      <w:r>
        <w:rPr>
          <w:rFonts w:ascii="宋体" w:hAnsi="宋体" w:eastAsia="宋体" w:cs="宋体"/>
          <w:color w:val="auto"/>
          <w:spacing w:val="-5"/>
          <w:sz w:val="21"/>
          <w:szCs w:val="21"/>
          <w:highlight w:val="none"/>
        </w:rPr>
        <w:t>，</w:t>
      </w:r>
      <w:r>
        <w:rPr>
          <w:rFonts w:hint="eastAsia" w:ascii="宋体" w:hAnsi="宋体" w:eastAsia="宋体" w:cs="宋体"/>
          <w:color w:val="auto"/>
        </w:rPr>
        <w:t>且严重影响医院正常运行时</w:t>
      </w:r>
      <w:r>
        <w:rPr>
          <w:rFonts w:hint="eastAsia" w:ascii="宋体" w:hAnsi="宋体" w:cs="宋体"/>
          <w:color w:val="auto"/>
          <w:lang w:eastAsia="zh-CN"/>
        </w:rPr>
        <w:t>，</w:t>
      </w:r>
      <w:r>
        <w:rPr>
          <w:rFonts w:hint="eastAsia" w:ascii="宋体" w:hAnsi="宋体" w:eastAsia="宋体" w:cs="宋体"/>
          <w:color w:val="auto"/>
          <w:spacing w:val="-5"/>
          <w:sz w:val="21"/>
          <w:szCs w:val="21"/>
          <w:highlight w:val="none"/>
          <w:lang w:val="en-US" w:eastAsia="zh-CN"/>
        </w:rPr>
        <w:t>甲方</w:t>
      </w:r>
      <w:r>
        <w:rPr>
          <w:rFonts w:ascii="宋体" w:hAnsi="宋体" w:eastAsia="宋体" w:cs="宋体"/>
          <w:color w:val="auto"/>
          <w:spacing w:val="-5"/>
          <w:sz w:val="21"/>
          <w:szCs w:val="21"/>
          <w:highlight w:val="none"/>
        </w:rPr>
        <w:t>有权</w:t>
      </w:r>
      <w:r>
        <w:rPr>
          <w:rFonts w:hint="eastAsia" w:ascii="宋体" w:hAnsi="宋体" w:eastAsia="宋体" w:cs="宋体"/>
          <w:color w:val="auto"/>
          <w:spacing w:val="9"/>
          <w:sz w:val="21"/>
          <w:szCs w:val="21"/>
          <w:highlight w:val="none"/>
          <w:lang w:eastAsia="zh-CN"/>
        </w:rPr>
        <w:t>解除</w:t>
      </w:r>
      <w:r>
        <w:rPr>
          <w:rFonts w:ascii="宋体" w:hAnsi="宋体" w:eastAsia="宋体" w:cs="宋体"/>
          <w:color w:val="auto"/>
          <w:spacing w:val="-5"/>
          <w:sz w:val="21"/>
          <w:szCs w:val="21"/>
          <w:highlight w:val="none"/>
        </w:rPr>
        <w:t>合同。</w:t>
      </w:r>
      <w:r>
        <w:rPr>
          <w:rFonts w:ascii="宋体" w:hAnsi="宋体" w:eastAsia="宋体" w:cs="宋体"/>
          <w:color w:val="auto"/>
          <w:spacing w:val="-100"/>
          <w:sz w:val="21"/>
          <w:szCs w:val="21"/>
          <w:highlight w:val="none"/>
        </w:rPr>
        <w:t xml:space="preserve"> </w:t>
      </w:r>
    </w:p>
    <w:p w14:paraId="6CB30F25">
      <w:pPr>
        <w:spacing w:after="96" w:afterLines="40" w:line="40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第四条 乙方权利及义务</w:t>
      </w:r>
    </w:p>
    <w:p w14:paraId="47937D06">
      <w:pPr>
        <w:numPr>
          <w:ilvl w:val="0"/>
          <w:numId w:val="12"/>
        </w:numPr>
        <w:snapToGrid w:val="0"/>
        <w:spacing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乙方需具备能完成本项目服务要求的洗涤场地及相关洗涤设备，甲方不提供主要洗涤场地及设备。自主经营，独立核算，项目不允许分包。</w:t>
      </w:r>
    </w:p>
    <w:p w14:paraId="3E723F53">
      <w:pPr>
        <w:numPr>
          <w:ilvl w:val="0"/>
          <w:numId w:val="12"/>
        </w:numPr>
        <w:snapToGrid w:val="0"/>
        <w:spacing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根据实际情况需要购置新的设备，费用由乙方出资。</w:t>
      </w:r>
    </w:p>
    <w:p w14:paraId="6D8427BF">
      <w:pPr>
        <w:numPr>
          <w:ilvl w:val="0"/>
          <w:numId w:val="12"/>
        </w:numPr>
        <w:snapToGrid w:val="0"/>
        <w:spacing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在保证甲方洗涤供应工作正常、保证质量的前提下，方可承接甲方以外的洗涤业务，但其他单位的布草必须另有独立的区间分开存放和洗涤，不能混淆，避免交叉感染。在对外业务中所引起的责任和纠纷，由乙方自行负责。</w:t>
      </w:r>
    </w:p>
    <w:p w14:paraId="1DC5E905">
      <w:pPr>
        <w:numPr>
          <w:ilvl w:val="0"/>
          <w:numId w:val="12"/>
        </w:numPr>
        <w:snapToGrid w:val="0"/>
        <w:spacing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严格按照国家卫生健康委员会颁布的《医院医用织物洗涤消毒技术规范》要求洗涤消毒医院布草。如因布草未按洗涤消毒技术规范造成医院感染的，由乙方负全责，并赔偿因此造成的经济损失，甲方不承担任何责任。如因乙方未按照正确的洗涤方法造成布草非正常耗损的须照价赔偿。</w:t>
      </w:r>
    </w:p>
    <w:p w14:paraId="4C485793">
      <w:pPr>
        <w:numPr>
          <w:ilvl w:val="0"/>
          <w:numId w:val="12"/>
        </w:numPr>
        <w:snapToGrid w:val="0"/>
        <w:spacing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收送医院洗涤布草车辆要严格区分脏污车和洁净车，专车专用，不能混运混放，必须严格按污染区洁净区各行其道，避免交叉感染。</w:t>
      </w:r>
    </w:p>
    <w:p w14:paraId="6FE3DC00">
      <w:pPr>
        <w:numPr>
          <w:ilvl w:val="0"/>
          <w:numId w:val="12"/>
        </w:numPr>
        <w:snapToGrid w:val="0"/>
        <w:spacing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乙方需按规定的工作流程收送布草并与科室签收清点交接单，通过RFID系统进行管理。如未双方清点收送，造成被服丢失的，由乙方负责赔付。</w:t>
      </w:r>
    </w:p>
    <w:p w14:paraId="23D6B13E">
      <w:pPr>
        <w:numPr>
          <w:ilvl w:val="0"/>
          <w:numId w:val="12"/>
        </w:numPr>
        <w:snapToGrid w:val="0"/>
        <w:spacing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如有紧急疫情发生，乙方为完成各项洗涤工作，有权要求甲方提供必要的防护物资、感控培训、洗涤消毒指导等。</w:t>
      </w:r>
    </w:p>
    <w:p w14:paraId="6FC9AEBF">
      <w:pPr>
        <w:numPr>
          <w:ilvl w:val="0"/>
          <w:numId w:val="12"/>
        </w:numPr>
        <w:snapToGrid w:val="0"/>
        <w:spacing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负责对甲方医用织物进行标记，含医院标记、科室标记、工作服编号等，便于洗涤后分送。新布草应印上医院、科室标识后，进行漂洗方可使用。此项不另行计算费用。</w:t>
      </w:r>
    </w:p>
    <w:p w14:paraId="4CE409C8">
      <w:pPr>
        <w:numPr>
          <w:ilvl w:val="0"/>
          <w:numId w:val="12"/>
        </w:numPr>
        <w:snapToGrid w:val="0"/>
        <w:spacing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被服因机器、人为原因造成损坏，经双方确认责任后，责任在乙方的由乙方赔偿。</w:t>
      </w:r>
    </w:p>
    <w:p w14:paraId="1DA44D0B">
      <w:pPr>
        <w:numPr>
          <w:ilvl w:val="0"/>
          <w:numId w:val="12"/>
        </w:numPr>
        <w:snapToGrid w:val="0"/>
        <w:spacing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乙方要高度重视安全生产教育，提高安全生产意识，保证生产安全，因安全生产问题和由乙方原因引起的一切责任事故由乙方负责。</w:t>
      </w:r>
    </w:p>
    <w:p w14:paraId="70F61393">
      <w:pPr>
        <w:numPr>
          <w:ilvl w:val="0"/>
          <w:numId w:val="12"/>
        </w:numPr>
        <w:snapToGrid w:val="0"/>
        <w:spacing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乙方负责人、洗涤人员等服务人员在岗履行工作职责期间，发生自身的人身伤害、伤亡，均由乙方负责处理并承担经济和法律责任，甲方不承担任何责任。</w:t>
      </w:r>
    </w:p>
    <w:p w14:paraId="0E886084">
      <w:pPr>
        <w:numPr>
          <w:ilvl w:val="0"/>
          <w:numId w:val="12"/>
        </w:numPr>
        <w:snapToGrid w:val="0"/>
        <w:spacing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乙方须严格按照《中华人民共和国社会保险法》及相关法律法规要求，为其所有派往本项目工作的员工足额、及时缴纳社会保险。</w:t>
      </w:r>
    </w:p>
    <w:p w14:paraId="2BD20CD3">
      <w:pPr>
        <w:numPr>
          <w:ilvl w:val="0"/>
          <w:numId w:val="12"/>
        </w:numPr>
        <w:snapToGrid w:val="0"/>
        <w:spacing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乙方违反国家相关法规，与聘用人员发生纠纷的，均由乙方负责调解与处理，甲方不承担责任。</w:t>
      </w:r>
    </w:p>
    <w:p w14:paraId="2A4F5F5C">
      <w:pPr>
        <w:numPr>
          <w:ilvl w:val="0"/>
          <w:numId w:val="12"/>
        </w:numPr>
        <w:snapToGrid w:val="0"/>
        <w:spacing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乙方须实现项目织物交接、清点、存储、发放以及回收等过程的智能化管理（RFID智能芯片）及全流程可追溯，甲方不另行付费。系统功能包括但不限于：布草快速分拣，分科室配送；对所有布草进行独立编号入库管理；布草去向清晰，丢失或配送错误能准确迅速查找。</w:t>
      </w:r>
    </w:p>
    <w:p w14:paraId="238BD7A8">
      <w:pPr>
        <w:numPr>
          <w:ilvl w:val="0"/>
          <w:numId w:val="12"/>
        </w:numPr>
        <w:snapToGrid w:val="0"/>
        <w:spacing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乙方应保证所提供服务成果在使用时不会侵犯任何第三方的专利权、商标权、工业设计权或其他权利。</w:t>
      </w:r>
    </w:p>
    <w:p w14:paraId="30DF4007">
      <w:pPr>
        <w:numPr>
          <w:ilvl w:val="0"/>
          <w:numId w:val="12"/>
        </w:numPr>
        <w:snapToGrid w:val="0"/>
        <w:spacing w:line="400" w:lineRule="exact"/>
        <w:ind w:left="0" w:leftChars="0"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乙方应按公告规定、采购文件或投标文件承诺的时间向甲方提供与服务有关的技术资料。</w:t>
      </w:r>
    </w:p>
    <w:p w14:paraId="22A8CC2E">
      <w:pPr>
        <w:numPr>
          <w:ilvl w:val="0"/>
          <w:numId w:val="12"/>
        </w:numPr>
        <w:snapToGrid w:val="0"/>
        <w:spacing w:line="400" w:lineRule="exact"/>
        <w:ind w:left="0" w:leftChars="0"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kern w:val="2"/>
          <w:sz w:val="21"/>
          <w:szCs w:val="21"/>
          <w:lang w:val="en-US" w:eastAsia="zh-CN" w:bidi="ar-SA"/>
        </w:rPr>
        <w:t>没有甲方事先书面同意，乙方不得将由甲方提供的有关合同或任何合同条文、规格、计划、资料提供给与履行本合同无关的任何其他人。该保密义务为永久性，不因本合同的解除、撤销、无效、终止而免除。</w:t>
      </w:r>
      <w:r>
        <w:rPr>
          <w:rFonts w:hint="eastAsia" w:ascii="宋体" w:hAnsi="宋体" w:cs="宋体"/>
          <w:color w:val="auto"/>
          <w:szCs w:val="21"/>
          <w:lang w:val="en-US" w:eastAsia="zh-CN"/>
        </w:rPr>
        <w:t xml:space="preserve"> </w:t>
      </w:r>
    </w:p>
    <w:p w14:paraId="339B761A">
      <w:pPr>
        <w:spacing w:after="96" w:afterLines="40" w:line="40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第六条 包装和运输</w:t>
      </w:r>
    </w:p>
    <w:p w14:paraId="4D38FCF4">
      <w:pPr>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kern w:val="1"/>
          <w:szCs w:val="21"/>
        </w:rPr>
        <w:t xml:space="preserve">. </w:t>
      </w:r>
      <w:r>
        <w:rPr>
          <w:rFonts w:hint="eastAsia" w:ascii="宋体" w:hAnsi="宋体" w:eastAsia="宋体" w:cs="宋体"/>
          <w:color w:val="auto"/>
          <w:szCs w:val="21"/>
        </w:rPr>
        <w:t>乙方提供的服务成果均应按照公告规定、采购文件或投标文件承诺的包装材料、包装标准、包装方式进行包装，每一包装单元内应附详细的交付清单。</w:t>
      </w:r>
    </w:p>
    <w:p w14:paraId="7764E137">
      <w:pPr>
        <w:spacing w:line="400" w:lineRule="exact"/>
        <w:ind w:firstLine="420" w:firstLineChars="200"/>
        <w:rPr>
          <w:rFonts w:hint="eastAsia" w:ascii="宋体" w:hAnsi="宋体" w:eastAsia="宋体" w:cs="宋体"/>
          <w:color w:val="auto"/>
          <w:szCs w:val="21"/>
          <w:u w:val="none"/>
        </w:rPr>
      </w:pPr>
      <w:r>
        <w:rPr>
          <w:rFonts w:hint="eastAsia" w:ascii="宋体" w:hAnsi="宋体" w:eastAsia="宋体" w:cs="宋体"/>
          <w:color w:val="auto"/>
          <w:szCs w:val="21"/>
        </w:rPr>
        <w:t>2</w:t>
      </w:r>
      <w:r>
        <w:rPr>
          <w:rFonts w:hint="eastAsia" w:ascii="宋体" w:hAnsi="宋体" w:eastAsia="宋体" w:cs="宋体"/>
          <w:color w:val="auto"/>
          <w:kern w:val="1"/>
          <w:szCs w:val="21"/>
        </w:rPr>
        <w:t>.</w:t>
      </w:r>
      <w:r>
        <w:rPr>
          <w:rFonts w:hint="eastAsia" w:ascii="宋体" w:hAnsi="宋体" w:eastAsia="宋体" w:cs="宋体"/>
          <w:color w:val="auto"/>
          <w:szCs w:val="21"/>
        </w:rPr>
        <w:t>运输方式：</w:t>
      </w:r>
      <w:r>
        <w:rPr>
          <w:rFonts w:hint="eastAsia" w:ascii="宋体" w:hAnsi="宋体" w:eastAsia="宋体" w:cs="宋体"/>
          <w:color w:val="auto"/>
          <w:kern w:val="1"/>
          <w:szCs w:val="21"/>
          <w:u w:val="none"/>
        </w:rPr>
        <w:t>不限，但应注意避免污染或交叉感染，运送布草所有设备均由乙方自行配备并符合院感要求，布草运送进行分类专车专用，不得混用、混装、混运。</w:t>
      </w:r>
    </w:p>
    <w:p w14:paraId="31107827">
      <w:pPr>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kern w:val="1"/>
          <w:szCs w:val="21"/>
        </w:rPr>
        <w:t>.乙方负责运输及相关费用，运输保险费已包含在合同</w:t>
      </w:r>
      <w:r>
        <w:rPr>
          <w:rFonts w:hint="eastAsia" w:ascii="宋体" w:hAnsi="宋体" w:eastAsia="宋体" w:cs="宋体"/>
          <w:color w:val="auto"/>
          <w:kern w:val="1"/>
          <w:szCs w:val="21"/>
          <w:lang w:val="en-US" w:eastAsia="zh-CN"/>
        </w:rPr>
        <w:t>价款</w:t>
      </w:r>
      <w:r>
        <w:rPr>
          <w:rFonts w:hint="eastAsia" w:ascii="宋体" w:hAnsi="宋体" w:eastAsia="宋体" w:cs="宋体"/>
          <w:color w:val="auto"/>
          <w:kern w:val="1"/>
          <w:szCs w:val="21"/>
        </w:rPr>
        <w:t>中，乙方须确保服务成果安全无损地运抵甲方指定地点</w:t>
      </w:r>
      <w:r>
        <w:rPr>
          <w:rFonts w:hint="eastAsia" w:ascii="宋体" w:hAnsi="宋体" w:eastAsia="宋体" w:cs="宋体"/>
          <w:color w:val="auto"/>
          <w:szCs w:val="21"/>
        </w:rPr>
        <w:t>。</w:t>
      </w:r>
    </w:p>
    <w:p w14:paraId="4BADAAE4">
      <w:pPr>
        <w:spacing w:line="400" w:lineRule="exact"/>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第七条 交付和验收</w:t>
      </w:r>
    </w:p>
    <w:p w14:paraId="5D707013">
      <w:pPr>
        <w:snapToGrid w:val="0"/>
        <w:spacing w:before="120" w:after="120" w:line="4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1.</w:t>
      </w:r>
      <w:r>
        <w:rPr>
          <w:rFonts w:hint="eastAsia" w:ascii="宋体" w:hAnsi="宋体" w:eastAsia="宋体" w:cs="宋体"/>
          <w:color w:val="auto"/>
          <w:szCs w:val="21"/>
        </w:rPr>
        <w:t>交付时间：</w:t>
      </w:r>
    </w:p>
    <w:p w14:paraId="05FC4EF3">
      <w:pPr>
        <w:numPr>
          <w:ilvl w:val="0"/>
          <w:numId w:val="0"/>
        </w:numPr>
        <w:snapToGrid w:val="0"/>
        <w:spacing w:before="120" w:after="120" w:line="4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Cs w:val="21"/>
        </w:rPr>
        <w:t>每天收两次、送一次（收取时间范围：上午8:00-9:00；下午：15:00-16:00；送达时间范围：上午8:00-9:00）。</w:t>
      </w:r>
    </w:p>
    <w:p w14:paraId="2DB83B67">
      <w:pPr>
        <w:numPr>
          <w:ilvl w:val="0"/>
          <w:numId w:val="0"/>
        </w:numPr>
        <w:snapToGrid w:val="0"/>
        <w:spacing w:before="120" w:after="120" w:line="4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Cs w:val="21"/>
        </w:rPr>
        <w:t>工作服每天收两次</w:t>
      </w:r>
      <w:r>
        <w:rPr>
          <w:rFonts w:hint="eastAsia" w:ascii="宋体" w:hAnsi="宋体" w:eastAsia="宋体" w:cs="宋体"/>
          <w:color w:val="auto"/>
          <w:szCs w:val="21"/>
          <w:highlight w:val="none"/>
          <w:lang w:val="en-US" w:eastAsia="zh-CN"/>
        </w:rPr>
        <w:t>、送一次</w:t>
      </w:r>
      <w:r>
        <w:rPr>
          <w:rFonts w:hint="eastAsia" w:ascii="宋体" w:hAnsi="宋体" w:eastAsia="宋体" w:cs="宋体"/>
          <w:color w:val="auto"/>
          <w:szCs w:val="21"/>
        </w:rPr>
        <w:t>，特殊情况、特殊科室按科室要求收送。</w:t>
      </w:r>
    </w:p>
    <w:p w14:paraId="36EE3143">
      <w:pPr>
        <w:numPr>
          <w:ilvl w:val="0"/>
          <w:numId w:val="0"/>
        </w:numPr>
        <w:snapToGrid w:val="0"/>
        <w:spacing w:before="120" w:after="120" w:line="4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SA"/>
        </w:rPr>
        <w:t>（3）</w:t>
      </w:r>
      <w:r>
        <w:rPr>
          <w:rFonts w:hint="eastAsia" w:ascii="宋体" w:hAnsi="宋体" w:eastAsia="宋体" w:cs="宋体"/>
          <w:color w:val="auto"/>
          <w:szCs w:val="21"/>
        </w:rPr>
        <w:t>其他要求详见</w:t>
      </w:r>
      <w:r>
        <w:rPr>
          <w:rFonts w:hint="eastAsia" w:ascii="宋体" w:hAnsi="宋体" w:eastAsia="宋体" w:cs="宋体"/>
          <w:color w:val="auto"/>
          <w:szCs w:val="21"/>
          <w:lang w:val="en-US" w:eastAsia="zh-CN"/>
        </w:rPr>
        <w:t>招标文件要求及投标承诺</w:t>
      </w:r>
      <w:r>
        <w:rPr>
          <w:rFonts w:hint="eastAsia" w:ascii="宋体" w:hAnsi="宋体" w:eastAsia="宋体" w:cs="宋体"/>
          <w:color w:val="auto"/>
          <w:szCs w:val="21"/>
        </w:rPr>
        <w:t>。</w:t>
      </w:r>
    </w:p>
    <w:p w14:paraId="1CC6AB3B">
      <w:pPr>
        <w:numPr>
          <w:ilvl w:val="0"/>
          <w:numId w:val="0"/>
        </w:numPr>
        <w:snapToGrid w:val="0"/>
        <w:spacing w:before="120" w:after="120" w:line="4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Cs w:val="21"/>
          <w:lang w:val="en-US" w:eastAsia="zh-CN"/>
        </w:rPr>
        <w:t>.</w:t>
      </w:r>
      <w:r>
        <w:rPr>
          <w:rFonts w:hint="eastAsia" w:ascii="宋体" w:hAnsi="宋体" w:eastAsia="宋体" w:cs="宋体"/>
          <w:color w:val="auto"/>
          <w:szCs w:val="21"/>
        </w:rPr>
        <w:t>交付地点：</w:t>
      </w:r>
      <w:r>
        <w:rPr>
          <w:rFonts w:hint="eastAsia" w:ascii="宋体" w:hAnsi="宋体" w:cs="宋体"/>
          <w:color w:val="auto"/>
          <w:szCs w:val="21"/>
          <w:lang w:val="en-US" w:eastAsia="zh-CN"/>
        </w:rPr>
        <w:t>广西医科大学附属武鸣医院</w:t>
      </w:r>
      <w:r>
        <w:rPr>
          <w:rFonts w:hint="eastAsia" w:ascii="宋体" w:hAnsi="宋体" w:eastAsia="宋体" w:cs="宋体"/>
          <w:color w:val="auto"/>
          <w:szCs w:val="21"/>
        </w:rPr>
        <w:t>甲方指定地点。</w:t>
      </w:r>
    </w:p>
    <w:p w14:paraId="436E77A4">
      <w:pPr>
        <w:snapToGrid w:val="0"/>
        <w:spacing w:before="120" w:after="120" w:line="4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初步验收：甲乙双方共同对送还的洗涤成品进行检查，检查内容为布草类别、数量及洗涤质量。检查确认洗涤质量不合格的由乙方无条件收回返工。</w:t>
      </w:r>
    </w:p>
    <w:p w14:paraId="0E95AE7D">
      <w:pPr>
        <w:snapToGrid w:val="0"/>
        <w:spacing w:before="120" w:after="120" w:line="4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使用部门验收：使用部门在使用过程中发现洗涤质量不合格，由乙方无条件收回返工，如造成医院无法正常运行的，应由乙方负责赔偿。</w:t>
      </w:r>
    </w:p>
    <w:p w14:paraId="116F0D10">
      <w:pPr>
        <w:snapToGrid w:val="0"/>
        <w:spacing w:before="120" w:after="120" w:line="4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5.</w:t>
      </w:r>
      <w:r>
        <w:rPr>
          <w:rFonts w:hint="eastAsia" w:ascii="宋体" w:hAnsi="宋体" w:eastAsia="宋体" w:cs="宋体"/>
          <w:color w:val="auto"/>
          <w:szCs w:val="21"/>
        </w:rPr>
        <w:t>月度验收：甲方每月依据附件《广西医科大学附属武鸣医院洗涤工作质量考核表》对乙方进行考核评分。</w:t>
      </w:r>
    </w:p>
    <w:p w14:paraId="0511E7C8">
      <w:pPr>
        <w:snapToGrid w:val="0"/>
        <w:spacing w:before="120" w:after="120" w:line="4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6.</w:t>
      </w:r>
      <w:r>
        <w:rPr>
          <w:rFonts w:hint="eastAsia" w:ascii="宋体" w:hAnsi="宋体" w:eastAsia="宋体" w:cs="宋体"/>
          <w:color w:val="auto"/>
          <w:szCs w:val="21"/>
        </w:rPr>
        <w:t>乙方交付前应对拟提交的服务成果作出全面检查，并列出清单，作为甲方接收验收的依据。</w:t>
      </w:r>
    </w:p>
    <w:p w14:paraId="1EDFB7F5">
      <w:pPr>
        <w:snapToGrid w:val="0"/>
        <w:spacing w:before="120" w:after="120" w:line="4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7.</w:t>
      </w:r>
      <w:r>
        <w:rPr>
          <w:rFonts w:hint="eastAsia" w:ascii="宋体" w:hAnsi="宋体" w:eastAsia="宋体" w:cs="宋体"/>
          <w:color w:val="auto"/>
          <w:szCs w:val="21"/>
        </w:rPr>
        <w:t>甲方组织验收，乙方必须到场配合，验收合格后由甲乙双方签署服务成果验收单。对技术复杂的标的，甲方可请国家认可的专业检测机构参与验收，费用由乙方承担。</w:t>
      </w:r>
    </w:p>
    <w:p w14:paraId="69F3A8DB">
      <w:pPr>
        <w:snapToGrid w:val="0"/>
        <w:spacing w:before="120" w:after="120" w:line="4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8.</w:t>
      </w:r>
      <w:r>
        <w:rPr>
          <w:rFonts w:hint="eastAsia" w:ascii="宋体" w:hAnsi="宋体" w:eastAsia="宋体" w:cs="宋体"/>
          <w:color w:val="auto"/>
          <w:szCs w:val="21"/>
        </w:rPr>
        <w:t>甲方对验收有异议的，在验收后五个工作日内以书面形式向乙方提出，乙方应自收到甲方书面异议后三日内及时予以解决。</w:t>
      </w:r>
    </w:p>
    <w:p w14:paraId="4E778C7F">
      <w:pPr>
        <w:snapToGrid w:val="0"/>
        <w:spacing w:before="120" w:after="120" w:line="40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9.</w:t>
      </w:r>
      <w:r>
        <w:rPr>
          <w:rFonts w:hint="eastAsia" w:ascii="宋体" w:hAnsi="宋体" w:eastAsia="宋体" w:cs="宋体"/>
          <w:color w:val="auto"/>
          <w:szCs w:val="21"/>
        </w:rPr>
        <w:t>其他未尽事宜参照政府采购履约验收相关管理规定执行。</w:t>
      </w:r>
    </w:p>
    <w:p w14:paraId="481CCC5E">
      <w:pPr>
        <w:spacing w:after="96" w:afterLines="40" w:line="40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第八条  售后服务</w:t>
      </w:r>
    </w:p>
    <w:p w14:paraId="0B07B42E">
      <w:pPr>
        <w:spacing w:after="96" w:afterLines="40"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kern w:val="1"/>
          <w:szCs w:val="21"/>
        </w:rPr>
        <w:t xml:space="preserve">. </w:t>
      </w:r>
      <w:r>
        <w:rPr>
          <w:rFonts w:hint="eastAsia" w:ascii="宋体" w:hAnsi="宋体" w:eastAsia="宋体" w:cs="宋体"/>
          <w:color w:val="auto"/>
          <w:szCs w:val="21"/>
        </w:rPr>
        <w:t>乙方应按照国家有关法律法规和“三包”规定以及公告、采购文件、投标文件和本合同所附的《服务承诺》，为甲方提供售后服务。</w:t>
      </w:r>
    </w:p>
    <w:p w14:paraId="43762FDB">
      <w:pPr>
        <w:spacing w:after="96" w:afterLines="40"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kern w:val="1"/>
          <w:szCs w:val="21"/>
        </w:rPr>
        <w:t xml:space="preserve">. </w:t>
      </w:r>
      <w:r>
        <w:rPr>
          <w:rFonts w:hint="eastAsia" w:ascii="宋体" w:hAnsi="宋体" w:eastAsia="宋体" w:cs="宋体"/>
          <w:color w:val="auto"/>
          <w:szCs w:val="21"/>
        </w:rPr>
        <w:t>乙方提供的服务承诺等其它具体约定事项（见合同附件)。</w:t>
      </w:r>
    </w:p>
    <w:p w14:paraId="5035E561">
      <w:pPr>
        <w:spacing w:after="96" w:afterLines="40" w:line="40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第</w:t>
      </w:r>
      <w:r>
        <w:rPr>
          <w:rFonts w:hint="eastAsia" w:ascii="宋体" w:hAnsi="宋体" w:eastAsia="宋体" w:cs="宋体"/>
          <w:b/>
          <w:bCs/>
          <w:color w:val="auto"/>
          <w:szCs w:val="21"/>
          <w:lang w:val="en-US" w:eastAsia="zh-CN"/>
        </w:rPr>
        <w:t>九</w:t>
      </w:r>
      <w:r>
        <w:rPr>
          <w:rFonts w:hint="eastAsia" w:ascii="宋体" w:hAnsi="宋体" w:eastAsia="宋体" w:cs="宋体"/>
          <w:b/>
          <w:bCs/>
          <w:color w:val="auto"/>
          <w:szCs w:val="21"/>
        </w:rPr>
        <w:t>条 付款方式</w:t>
      </w:r>
    </w:p>
    <w:p w14:paraId="159C1729">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1.费用计算：按每月实际发生的洗涤品目数量进行计算，即：每月洗涤费用＝每月洗涤数量×对应洗涤品目中标单价【对应洗涤品目中标单价=洗涤品目上控单价×（1-中标</w:t>
      </w:r>
      <w:r>
        <w:rPr>
          <w:rFonts w:hint="eastAsia" w:ascii="宋体" w:hAnsi="宋体" w:cs="宋体"/>
          <w:color w:val="auto"/>
          <w:kern w:val="2"/>
          <w:sz w:val="21"/>
          <w:szCs w:val="21"/>
          <w:lang w:val="en-US" w:eastAsia="zh-CN" w:bidi="ar-SA"/>
        </w:rPr>
        <w:t>下浮系数</w:t>
      </w:r>
      <w:r>
        <w:rPr>
          <w:rFonts w:hint="eastAsia" w:ascii="宋体" w:hAnsi="宋体" w:eastAsia="宋体" w:cs="宋体"/>
          <w:color w:val="auto"/>
          <w:kern w:val="2"/>
          <w:sz w:val="21"/>
          <w:szCs w:val="21"/>
          <w:lang w:val="en-US" w:eastAsia="zh-CN" w:bidi="ar-SA"/>
        </w:rPr>
        <w:t>）】。</w:t>
      </w:r>
    </w:p>
    <w:p w14:paraId="6DB3C971">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2.结算费用：实际结算金额须在当月洗涤费用金额基础上，扣减当月考核金额、罚款等（如被考核的应扣金额、违约金等）进行结算，即：实际结算金额=当月洗涤费用-当月考核应扣金额、罚款等。</w:t>
      </w:r>
    </w:p>
    <w:p w14:paraId="348B3938">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3.费用按月结算。乙方于次月 10 日前向甲方提供上月费用明细清单，待甲方审核无误后由乙方</w:t>
      </w:r>
      <w:r>
        <w:rPr>
          <w:rFonts w:hint="eastAsia" w:ascii="宋体" w:hAnsi="宋体" w:cs="宋体"/>
          <w:color w:val="auto"/>
          <w:kern w:val="2"/>
          <w:sz w:val="21"/>
          <w:szCs w:val="21"/>
          <w:lang w:val="en-US" w:eastAsia="zh-CN" w:bidi="ar-SA"/>
        </w:rPr>
        <w:t>按实际结算金额</w:t>
      </w:r>
      <w:r>
        <w:rPr>
          <w:rFonts w:hint="eastAsia" w:ascii="宋体" w:hAnsi="宋体" w:eastAsia="宋体" w:cs="宋体"/>
          <w:color w:val="auto"/>
          <w:kern w:val="2"/>
          <w:sz w:val="21"/>
          <w:szCs w:val="21"/>
          <w:lang w:val="en-US" w:eastAsia="zh-CN" w:bidi="ar-SA"/>
        </w:rPr>
        <w:t>出具正规发票；甲方收到费用明细清单、洗涤质量考评结果及发票审核无误后按月结算，如：第四月支付第一月，第五月支付第二月，以此类推。</w:t>
      </w:r>
    </w:p>
    <w:p w14:paraId="3563D8C2">
      <w:pPr>
        <w:spacing w:after="96" w:afterLines="40" w:line="40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第十条 履约保证金</w:t>
      </w:r>
    </w:p>
    <w:p w14:paraId="7CDDAE8A">
      <w:pPr>
        <w:spacing w:after="96" w:afterLines="40" w:line="400" w:lineRule="exact"/>
        <w:ind w:firstLine="420" w:firstLineChars="200"/>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履约保证金金额：本项目</w:t>
      </w:r>
      <w:r>
        <w:rPr>
          <w:rFonts w:hint="eastAsia" w:ascii="宋体" w:hAnsi="宋体" w:cs="宋体"/>
          <w:color w:val="auto"/>
          <w:kern w:val="1"/>
          <w:szCs w:val="21"/>
          <w:highlight w:val="none"/>
          <w:lang w:val="en-US" w:eastAsia="zh-CN"/>
        </w:rPr>
        <w:t>采购预算金额</w:t>
      </w:r>
      <w:r>
        <w:rPr>
          <w:rFonts w:hint="eastAsia" w:ascii="宋体" w:hAnsi="宋体" w:eastAsia="宋体" w:cs="宋体"/>
          <w:color w:val="auto"/>
          <w:kern w:val="1"/>
          <w:szCs w:val="21"/>
          <w:highlight w:val="none"/>
          <w:lang w:val="en-US" w:eastAsia="zh-CN"/>
        </w:rPr>
        <w:t>的2%。</w:t>
      </w:r>
    </w:p>
    <w:p w14:paraId="109B6635">
      <w:pPr>
        <w:spacing w:after="96" w:afterLines="40" w:line="400" w:lineRule="exact"/>
        <w:ind w:firstLine="420" w:firstLineChars="200"/>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履约保证金提交方式：支票、汇票、本票、银行转账或者金融机构、担保机构出具的保函等非现金形式。乙方在签订合同前足额提交履约保证金至甲方以下指定账户。</w:t>
      </w:r>
    </w:p>
    <w:p w14:paraId="3E6ED543">
      <w:pPr>
        <w:spacing w:after="96" w:afterLines="40" w:line="400" w:lineRule="exact"/>
        <w:ind w:firstLine="420" w:firstLineChars="200"/>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履约保证金指定账户：</w:t>
      </w:r>
    </w:p>
    <w:p w14:paraId="28DE9F88">
      <w:pPr>
        <w:spacing w:after="96" w:afterLines="40" w:line="400" w:lineRule="exact"/>
        <w:ind w:firstLine="420" w:firstLineChars="200"/>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 xml:space="preserve">开户名：广西医科大学附属武鸣医院 </w:t>
      </w:r>
    </w:p>
    <w:p w14:paraId="474F3C27">
      <w:pPr>
        <w:spacing w:after="96" w:afterLines="40" w:line="400" w:lineRule="exact"/>
        <w:ind w:firstLine="420" w:firstLineChars="200"/>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开户行：</w:t>
      </w:r>
      <w:r>
        <w:rPr>
          <w:rFonts w:hint="eastAsia" w:ascii="宋体" w:hAnsi="宋体" w:cs="宋体"/>
          <w:color w:val="auto"/>
          <w:kern w:val="1"/>
          <w:szCs w:val="21"/>
          <w:highlight w:val="none"/>
          <w:lang w:val="en-US" w:eastAsia="zh-CN"/>
        </w:rPr>
        <w:t>中国工商银行股份有限公司南宁市武鸣支行</w:t>
      </w:r>
      <w:r>
        <w:rPr>
          <w:rFonts w:hint="eastAsia" w:ascii="宋体" w:hAnsi="宋体" w:eastAsia="宋体" w:cs="宋体"/>
          <w:color w:val="auto"/>
          <w:kern w:val="1"/>
          <w:szCs w:val="21"/>
          <w:highlight w:val="none"/>
          <w:lang w:val="en-US" w:eastAsia="zh-CN"/>
        </w:rPr>
        <w:t xml:space="preserve"> </w:t>
      </w:r>
    </w:p>
    <w:p w14:paraId="2907DC32">
      <w:pPr>
        <w:spacing w:after="96" w:afterLines="40" w:line="400" w:lineRule="exact"/>
        <w:ind w:firstLine="420" w:firstLineChars="200"/>
        <w:rPr>
          <w:rFonts w:hint="eastAsia"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lang w:val="en-US" w:eastAsia="zh-CN"/>
        </w:rPr>
        <w:t>账  号：</w:t>
      </w:r>
      <w:r>
        <w:rPr>
          <w:rFonts w:hint="eastAsia" w:ascii="宋体" w:hAnsi="宋体" w:cs="宋体"/>
          <w:color w:val="auto"/>
          <w:kern w:val="1"/>
          <w:szCs w:val="21"/>
          <w:highlight w:val="none"/>
          <w:lang w:val="en-US" w:eastAsia="zh-CN"/>
        </w:rPr>
        <w:t>2102117009300236704</w:t>
      </w:r>
      <w:r>
        <w:rPr>
          <w:rFonts w:hint="eastAsia" w:ascii="宋体" w:hAnsi="宋体" w:eastAsia="宋体" w:cs="宋体"/>
          <w:color w:val="auto"/>
          <w:kern w:val="1"/>
          <w:szCs w:val="21"/>
          <w:highlight w:val="none"/>
          <w:lang w:val="en-US" w:eastAsia="zh-CN"/>
        </w:rPr>
        <w:t>履约保证金退付方式、时间及条件：服务期结束后乙方无违约问题的，由乙方向甲方提供项目履约保证金退付申请，甲方在收到合格材料（包括履约保证金退付意见书、验收报告、退付申请函、合同、履约保证金缴纳凭证等）后进行核对，如有违约或赔偿的，涉及违约的违约金和损失赔偿从履约保证金中扣减后，甲方审核后30日内转账退还（无息）</w:t>
      </w:r>
    </w:p>
    <w:p w14:paraId="3E29479A">
      <w:pPr>
        <w:spacing w:after="96" w:afterLines="40" w:line="400" w:lineRule="exact"/>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第十</w:t>
      </w:r>
      <w:r>
        <w:rPr>
          <w:rFonts w:hint="eastAsia" w:ascii="宋体" w:hAnsi="宋体" w:eastAsia="宋体" w:cs="宋体"/>
          <w:b/>
          <w:bCs/>
          <w:color w:val="auto"/>
          <w:szCs w:val="21"/>
          <w:lang w:val="en-US" w:eastAsia="zh-CN"/>
        </w:rPr>
        <w:t>一</w:t>
      </w:r>
      <w:r>
        <w:rPr>
          <w:rFonts w:hint="eastAsia" w:ascii="宋体" w:hAnsi="宋体" w:eastAsia="宋体" w:cs="宋体"/>
          <w:b/>
          <w:bCs/>
          <w:color w:val="auto"/>
          <w:szCs w:val="21"/>
        </w:rPr>
        <w:t>条 税费</w:t>
      </w:r>
    </w:p>
    <w:p w14:paraId="287C25DC">
      <w:pPr>
        <w:spacing w:after="96" w:afterLines="40"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本合同执行中相关的一切税费均由乙方负担</w:t>
      </w:r>
      <w:r>
        <w:rPr>
          <w:rFonts w:hint="eastAsia" w:ascii="宋体" w:hAnsi="宋体" w:eastAsia="宋体" w:cs="宋体"/>
          <w:color w:val="auto"/>
          <w:sz w:val="21"/>
          <w:szCs w:val="21"/>
        </w:rPr>
        <w:t>（印花税按国家规定执行）</w:t>
      </w:r>
      <w:r>
        <w:rPr>
          <w:rFonts w:hint="eastAsia" w:ascii="宋体" w:hAnsi="宋体" w:eastAsia="宋体" w:cs="宋体"/>
          <w:color w:val="auto"/>
          <w:szCs w:val="21"/>
        </w:rPr>
        <w:t>。</w:t>
      </w:r>
    </w:p>
    <w:p w14:paraId="279FCEAB">
      <w:pPr>
        <w:snapToGrid w:val="0"/>
        <w:spacing w:before="120" w:after="120" w:line="400" w:lineRule="exact"/>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第十</w:t>
      </w:r>
      <w:r>
        <w:rPr>
          <w:rFonts w:hint="eastAsia" w:ascii="宋体" w:hAnsi="宋体" w:eastAsia="宋体" w:cs="宋体"/>
          <w:b/>
          <w:color w:val="auto"/>
          <w:szCs w:val="21"/>
          <w:lang w:val="en-US" w:eastAsia="zh-CN"/>
        </w:rPr>
        <w:t>二</w:t>
      </w:r>
      <w:r>
        <w:rPr>
          <w:rFonts w:hint="eastAsia" w:ascii="宋体" w:hAnsi="宋体" w:eastAsia="宋体" w:cs="宋体"/>
          <w:b/>
          <w:color w:val="auto"/>
          <w:szCs w:val="21"/>
        </w:rPr>
        <w:t>条 违约责任</w:t>
      </w:r>
    </w:p>
    <w:p w14:paraId="60DA025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1"/>
          <w:szCs w:val="21"/>
          <w:lang w:eastAsia="zh-CN"/>
        </w:rPr>
      </w:pPr>
      <w:r>
        <w:rPr>
          <w:rFonts w:hint="eastAsia" w:ascii="宋体" w:hAnsi="宋体" w:cs="宋体"/>
          <w:color w:val="auto"/>
          <w:kern w:val="1"/>
          <w:szCs w:val="21"/>
          <w:lang w:val="en-US" w:eastAsia="zh-CN"/>
        </w:rPr>
        <w:t xml:space="preserve">     1.</w:t>
      </w:r>
      <w:r>
        <w:rPr>
          <w:rFonts w:hint="eastAsia" w:ascii="宋体" w:hAnsi="宋体" w:eastAsia="宋体" w:cs="宋体"/>
          <w:color w:val="auto"/>
          <w:kern w:val="1"/>
          <w:szCs w:val="21"/>
        </w:rPr>
        <w:t>乙方所提供的服务成果质量不符合合同约定标准的，应在甲方要求的时间内重洗重新交付，重洗重新交付期间计入乙方交付时间。乙方拒绝重洗或重洗后仍不符合约定的，该次洗涤费用不予结算，并按</w:t>
      </w:r>
      <w:r>
        <w:rPr>
          <w:rFonts w:hint="eastAsia" w:ascii="宋体" w:hAnsi="宋体" w:eastAsia="宋体" w:cs="宋体"/>
          <w:color w:val="auto"/>
          <w:kern w:val="1"/>
          <w:szCs w:val="21"/>
          <w:lang w:eastAsia="zh-CN"/>
        </w:rPr>
        <w:t>《广</w:t>
      </w:r>
    </w:p>
    <w:p w14:paraId="04FAA4F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kern w:val="1"/>
          <w:szCs w:val="21"/>
        </w:rPr>
      </w:pPr>
      <w:r>
        <w:rPr>
          <w:rFonts w:hint="eastAsia" w:ascii="宋体" w:hAnsi="宋体" w:eastAsia="宋体" w:cs="宋体"/>
          <w:color w:val="auto"/>
          <w:kern w:val="1"/>
          <w:szCs w:val="21"/>
          <w:lang w:eastAsia="zh-CN"/>
        </w:rPr>
        <w:t>西医科大学附属武鸣医院</w:t>
      </w:r>
      <w:r>
        <w:rPr>
          <w:rFonts w:hint="eastAsia" w:ascii="宋体" w:hAnsi="宋体" w:eastAsia="宋体" w:cs="宋体"/>
          <w:color w:val="auto"/>
          <w:kern w:val="1"/>
          <w:szCs w:val="21"/>
        </w:rPr>
        <w:t>医院洗涤工作管理细则</w:t>
      </w:r>
      <w:r>
        <w:rPr>
          <w:rFonts w:hint="eastAsia" w:ascii="宋体" w:hAnsi="宋体" w:cs="宋体"/>
          <w:color w:val="auto"/>
          <w:kern w:val="1"/>
          <w:szCs w:val="21"/>
          <w:lang w:eastAsia="zh-CN"/>
        </w:rPr>
        <w:t>》</w:t>
      </w:r>
      <w:r>
        <w:rPr>
          <w:rFonts w:hint="eastAsia" w:ascii="宋体" w:hAnsi="宋体" w:eastAsia="宋体" w:cs="宋体"/>
          <w:color w:val="auto"/>
          <w:kern w:val="1"/>
          <w:szCs w:val="21"/>
        </w:rPr>
        <w:t>规定处理。</w:t>
      </w:r>
    </w:p>
    <w:p w14:paraId="4C66D72E">
      <w:pPr>
        <w:suppressAutoHyphens/>
        <w:snapToGrid w:val="0"/>
        <w:spacing w:line="400" w:lineRule="exact"/>
        <w:ind w:firstLine="420" w:firstLineChars="200"/>
        <w:rPr>
          <w:rFonts w:hint="eastAsia" w:ascii="宋体" w:hAnsi="宋体" w:eastAsia="宋体" w:cs="宋体"/>
          <w:color w:val="auto"/>
          <w:kern w:val="1"/>
          <w:szCs w:val="21"/>
        </w:rPr>
      </w:pPr>
      <w:r>
        <w:rPr>
          <w:rFonts w:hint="eastAsia" w:ascii="宋体" w:hAnsi="宋体" w:cs="宋体"/>
          <w:color w:val="auto"/>
          <w:kern w:val="1"/>
          <w:szCs w:val="21"/>
          <w:lang w:val="en-US" w:eastAsia="zh-CN"/>
        </w:rPr>
        <w:t>2.</w:t>
      </w:r>
      <w:r>
        <w:rPr>
          <w:rFonts w:hint="eastAsia" w:ascii="宋体" w:hAnsi="宋体" w:eastAsia="宋体" w:cs="宋体"/>
          <w:color w:val="auto"/>
          <w:kern w:val="1"/>
          <w:szCs w:val="21"/>
        </w:rPr>
        <w:t>因乙方原因造成被服丢失或人为损坏的，应由乙方按物品原价进行赔偿。</w:t>
      </w:r>
    </w:p>
    <w:p w14:paraId="1CE4E9E4">
      <w:pPr>
        <w:suppressAutoHyphens/>
        <w:snapToGrid w:val="0"/>
        <w:spacing w:line="400" w:lineRule="exact"/>
        <w:ind w:firstLine="420" w:firstLineChars="200"/>
        <w:rPr>
          <w:rFonts w:hint="eastAsia" w:ascii="宋体" w:hAnsi="宋体" w:eastAsia="宋体" w:cs="宋体"/>
          <w:color w:val="auto"/>
          <w:kern w:val="1"/>
          <w:szCs w:val="21"/>
        </w:rPr>
      </w:pPr>
      <w:r>
        <w:rPr>
          <w:rFonts w:hint="eastAsia" w:ascii="宋体" w:hAnsi="宋体" w:cs="宋体"/>
          <w:color w:val="auto"/>
          <w:kern w:val="1"/>
          <w:szCs w:val="21"/>
          <w:lang w:val="en-US" w:eastAsia="zh-CN"/>
        </w:rPr>
        <w:t>3.</w:t>
      </w:r>
      <w:r>
        <w:rPr>
          <w:rFonts w:hint="eastAsia" w:ascii="宋体" w:hAnsi="宋体" w:eastAsia="宋体" w:cs="宋体"/>
          <w:color w:val="auto"/>
          <w:kern w:val="1"/>
          <w:szCs w:val="21"/>
        </w:rPr>
        <w:t>乙方交付的成果如侵犯了第三方合法权益而引发的任何纠纷或诉讼，均由乙方负责交涉并承担全部责任。甲方有权解除合同，要求乙方退还已付价款，没收履约保证金。</w:t>
      </w:r>
    </w:p>
    <w:p w14:paraId="3F9CBAA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auto"/>
          <w:kern w:val="1"/>
          <w:szCs w:val="21"/>
          <w:lang w:eastAsia="zh-CN"/>
        </w:rPr>
      </w:pPr>
      <w:r>
        <w:rPr>
          <w:rFonts w:hint="eastAsia" w:ascii="宋体" w:hAnsi="宋体" w:cs="宋体"/>
          <w:color w:val="auto"/>
          <w:kern w:val="1"/>
          <w:szCs w:val="21"/>
          <w:lang w:val="en-US" w:eastAsia="zh-CN"/>
        </w:rPr>
        <w:t>4.</w:t>
      </w:r>
      <w:r>
        <w:rPr>
          <w:rFonts w:hint="eastAsia" w:ascii="宋体" w:hAnsi="宋体" w:eastAsia="宋体" w:cs="宋体"/>
          <w:color w:val="auto"/>
          <w:kern w:val="1"/>
          <w:szCs w:val="21"/>
        </w:rPr>
        <w:t>因包装、运输引起的服务成果损坏、污染或交叉感染的，由乙方承担全部责任，甲方有权按</w:t>
      </w:r>
      <w:r>
        <w:rPr>
          <w:rFonts w:hint="eastAsia" w:ascii="宋体" w:hAnsi="宋体" w:eastAsia="宋体" w:cs="宋体"/>
          <w:color w:val="auto"/>
          <w:kern w:val="1"/>
          <w:szCs w:val="21"/>
          <w:lang w:eastAsia="zh-CN"/>
        </w:rPr>
        <w:t>《广</w:t>
      </w:r>
    </w:p>
    <w:p w14:paraId="57309DC6">
      <w:pPr>
        <w:suppressAutoHyphens/>
        <w:snapToGrid w:val="0"/>
        <w:spacing w:line="400" w:lineRule="exact"/>
        <w:rPr>
          <w:rFonts w:hint="eastAsia" w:ascii="宋体" w:hAnsi="宋体" w:eastAsia="宋体" w:cs="宋体"/>
          <w:color w:val="auto"/>
          <w:kern w:val="1"/>
          <w:szCs w:val="21"/>
        </w:rPr>
      </w:pPr>
      <w:r>
        <w:rPr>
          <w:rFonts w:hint="eastAsia" w:ascii="宋体" w:hAnsi="宋体" w:eastAsia="宋体" w:cs="宋体"/>
          <w:color w:val="auto"/>
          <w:kern w:val="1"/>
          <w:szCs w:val="21"/>
          <w:lang w:eastAsia="zh-CN"/>
        </w:rPr>
        <w:t>西医科大学附属武鸣医院</w:t>
      </w:r>
      <w:r>
        <w:rPr>
          <w:rFonts w:hint="eastAsia" w:ascii="宋体" w:hAnsi="宋体" w:eastAsia="宋体" w:cs="宋体"/>
          <w:color w:val="auto"/>
          <w:kern w:val="1"/>
          <w:szCs w:val="21"/>
        </w:rPr>
        <w:t>医院洗涤工作管理细则</w:t>
      </w:r>
      <w:r>
        <w:rPr>
          <w:rFonts w:hint="eastAsia" w:ascii="宋体" w:hAnsi="宋体" w:cs="宋体"/>
          <w:color w:val="auto"/>
          <w:kern w:val="1"/>
          <w:szCs w:val="21"/>
          <w:lang w:eastAsia="zh-CN"/>
        </w:rPr>
        <w:t>》</w:t>
      </w:r>
      <w:r>
        <w:rPr>
          <w:rFonts w:hint="eastAsia" w:ascii="宋体" w:hAnsi="宋体" w:eastAsia="宋体" w:cs="宋体"/>
          <w:color w:val="auto"/>
          <w:kern w:val="1"/>
          <w:szCs w:val="21"/>
        </w:rPr>
        <w:t>规定处理。</w:t>
      </w:r>
    </w:p>
    <w:p w14:paraId="32AB0E82">
      <w:pPr>
        <w:suppressAutoHyphens/>
        <w:snapToGrid w:val="0"/>
        <w:spacing w:line="400" w:lineRule="exact"/>
        <w:ind w:firstLine="420" w:firstLineChars="200"/>
        <w:rPr>
          <w:rFonts w:hint="eastAsia" w:ascii="宋体" w:hAnsi="宋体" w:eastAsia="宋体" w:cs="宋体"/>
          <w:color w:val="auto"/>
          <w:kern w:val="1"/>
          <w:szCs w:val="21"/>
          <w:highlight w:val="none"/>
        </w:rPr>
      </w:pPr>
      <w:r>
        <w:rPr>
          <w:rFonts w:hint="eastAsia" w:ascii="宋体" w:hAnsi="宋体" w:cs="宋体"/>
          <w:color w:val="auto"/>
          <w:kern w:val="1"/>
          <w:szCs w:val="21"/>
          <w:lang w:val="en-US" w:eastAsia="zh-CN"/>
        </w:rPr>
        <w:t>5.</w:t>
      </w:r>
      <w:r>
        <w:rPr>
          <w:rFonts w:hint="eastAsia" w:ascii="宋体" w:hAnsi="宋体" w:eastAsia="宋体" w:cs="宋体"/>
          <w:color w:val="auto"/>
          <w:kern w:val="1"/>
          <w:szCs w:val="21"/>
        </w:rPr>
        <w:t>乙方未按本合同和投标文件中规定的服务承诺提供售后服务的，每出现一次，</w:t>
      </w:r>
      <w:r>
        <w:rPr>
          <w:rFonts w:hint="eastAsia" w:ascii="宋体" w:hAnsi="宋体" w:eastAsia="宋体" w:cs="宋体"/>
          <w:color w:val="auto"/>
          <w:kern w:val="1"/>
          <w:szCs w:val="21"/>
          <w:highlight w:val="none"/>
        </w:rPr>
        <w:t>甲方有权从应付乙方的洗涤费中直接扣除人民币50,000元 作为违约金。</w:t>
      </w:r>
      <w:r>
        <w:rPr>
          <w:rFonts w:hint="eastAsia" w:ascii="宋体" w:hAnsi="宋体" w:cs="宋体"/>
          <w:color w:val="auto"/>
          <w:kern w:val="1"/>
          <w:szCs w:val="21"/>
          <w:highlight w:val="none"/>
          <w:lang w:val="en-US" w:eastAsia="zh-CN"/>
        </w:rPr>
        <w:t>累计超过三次的，甲方有权解除本合同，乙方应向甲方支付项目预算金额的10%作为违约金</w:t>
      </w:r>
      <w:r>
        <w:rPr>
          <w:rFonts w:hint="eastAsia" w:ascii="宋体" w:hAnsi="宋体" w:eastAsia="宋体" w:cs="宋体"/>
          <w:color w:val="auto"/>
          <w:kern w:val="1"/>
          <w:szCs w:val="21"/>
          <w:highlight w:val="none"/>
        </w:rPr>
        <w:t>。</w:t>
      </w:r>
    </w:p>
    <w:p w14:paraId="1778C407">
      <w:pPr>
        <w:suppressAutoHyphens/>
        <w:snapToGrid w:val="0"/>
        <w:spacing w:line="400" w:lineRule="exact"/>
        <w:ind w:firstLine="420" w:firstLineChars="200"/>
        <w:rPr>
          <w:rFonts w:hint="eastAsia" w:ascii="宋体" w:hAnsi="宋体" w:eastAsia="宋体" w:cs="宋体"/>
          <w:color w:val="auto"/>
          <w:kern w:val="1"/>
          <w:szCs w:val="21"/>
          <w:highlight w:val="none"/>
        </w:rPr>
      </w:pPr>
      <w:r>
        <w:rPr>
          <w:rFonts w:hint="eastAsia" w:ascii="宋体" w:hAnsi="宋体" w:cs="宋体"/>
          <w:color w:val="auto"/>
          <w:kern w:val="1"/>
          <w:szCs w:val="21"/>
          <w:lang w:val="en-US" w:eastAsia="zh-CN"/>
        </w:rPr>
        <w:t>6.</w:t>
      </w:r>
      <w:r>
        <w:rPr>
          <w:rFonts w:hint="eastAsia" w:ascii="宋体" w:hAnsi="宋体" w:eastAsia="宋体" w:cs="宋体"/>
          <w:color w:val="auto"/>
          <w:kern w:val="1"/>
          <w:szCs w:val="21"/>
        </w:rPr>
        <w:t>乙方出现以下情形之一，甲方有权单方解除合同，并要求乙方按</w:t>
      </w:r>
      <w:r>
        <w:rPr>
          <w:rFonts w:hint="eastAsia" w:ascii="宋体" w:hAnsi="宋体" w:cs="宋体"/>
          <w:color w:val="auto"/>
          <w:kern w:val="1"/>
          <w:szCs w:val="21"/>
          <w:lang w:val="en-US" w:eastAsia="zh-CN"/>
        </w:rPr>
        <w:t>项目预算</w:t>
      </w:r>
      <w:r>
        <w:rPr>
          <w:rFonts w:hint="eastAsia" w:ascii="宋体" w:hAnsi="宋体" w:eastAsia="宋体" w:cs="宋体"/>
          <w:color w:val="auto"/>
          <w:kern w:val="1"/>
          <w:szCs w:val="21"/>
        </w:rPr>
        <w:t>金额的30%支付违约金</w:t>
      </w:r>
      <w:r>
        <w:rPr>
          <w:rFonts w:hint="eastAsia" w:ascii="宋体" w:hAnsi="宋体" w:cs="宋体"/>
          <w:color w:val="auto"/>
          <w:kern w:val="1"/>
          <w:szCs w:val="21"/>
          <w:highlight w:val="none"/>
          <w:lang w:eastAsia="zh-CN"/>
        </w:rPr>
        <w:t>。该违约金不足以弥补甲方实际损失的，甲方有权继续向乙方追偿：</w:t>
      </w:r>
    </w:p>
    <w:p w14:paraId="1798647C">
      <w:pPr>
        <w:suppressAutoHyphens/>
        <w:snapToGrid w:val="0"/>
        <w:spacing w:line="400" w:lineRule="exact"/>
        <w:ind w:firstLine="420" w:firstLineChars="200"/>
        <w:rPr>
          <w:rFonts w:hint="eastAsia" w:ascii="宋体" w:hAnsi="宋体" w:eastAsia="宋体" w:cs="宋体"/>
          <w:color w:val="auto"/>
          <w:kern w:val="1"/>
          <w:szCs w:val="21"/>
        </w:rPr>
      </w:pPr>
      <w:r>
        <w:rPr>
          <w:rFonts w:hint="eastAsia" w:ascii="宋体" w:hAnsi="宋体" w:eastAsia="宋体" w:cs="宋体"/>
          <w:color w:val="auto"/>
          <w:kern w:val="1"/>
          <w:szCs w:val="21"/>
        </w:rPr>
        <w:t>（1）未经甲方书面许可，擅自将本合同项下义务分包或转包的；</w:t>
      </w:r>
    </w:p>
    <w:p w14:paraId="19BDFB29">
      <w:pPr>
        <w:suppressAutoHyphens/>
        <w:snapToGrid w:val="0"/>
        <w:spacing w:line="400" w:lineRule="exact"/>
        <w:ind w:firstLine="420" w:firstLineChars="200"/>
        <w:rPr>
          <w:rFonts w:hint="eastAsia" w:ascii="宋体" w:hAnsi="宋体" w:eastAsia="宋体" w:cs="宋体"/>
          <w:color w:val="auto"/>
          <w:kern w:val="1"/>
          <w:szCs w:val="21"/>
        </w:rPr>
      </w:pPr>
      <w:r>
        <w:rPr>
          <w:rFonts w:hint="eastAsia" w:ascii="宋体" w:hAnsi="宋体" w:eastAsia="宋体" w:cs="宋体"/>
          <w:color w:val="auto"/>
          <w:kern w:val="1"/>
          <w:szCs w:val="21"/>
        </w:rPr>
        <w:t>（2）连续三月满意度测评均低于85分，且严重影响医院正常运行的；</w:t>
      </w:r>
    </w:p>
    <w:p w14:paraId="11B88B33">
      <w:pPr>
        <w:suppressAutoHyphens/>
        <w:snapToGrid w:val="0"/>
        <w:spacing w:line="400" w:lineRule="exact"/>
        <w:ind w:firstLine="420" w:firstLineChars="200"/>
        <w:rPr>
          <w:rFonts w:hint="eastAsia" w:ascii="宋体" w:hAnsi="宋体" w:eastAsia="宋体" w:cs="宋体"/>
          <w:color w:val="auto"/>
          <w:kern w:val="1"/>
          <w:szCs w:val="21"/>
        </w:rPr>
      </w:pPr>
      <w:r>
        <w:rPr>
          <w:rFonts w:hint="eastAsia" w:ascii="宋体" w:hAnsi="宋体" w:eastAsia="宋体" w:cs="宋体"/>
          <w:color w:val="auto"/>
          <w:kern w:val="1"/>
          <w:szCs w:val="21"/>
        </w:rPr>
        <w:t>（3）在未完成甲方洗涤任务及满足供应的情况下，承接外部业务；</w:t>
      </w:r>
    </w:p>
    <w:p w14:paraId="488B0CBF">
      <w:pPr>
        <w:spacing w:line="440" w:lineRule="exact"/>
        <w:ind w:firstLine="420" w:firstLineChars="200"/>
        <w:rPr>
          <w:rFonts w:hint="eastAsia"/>
          <w:color w:val="auto"/>
          <w:highlight w:val="none"/>
        </w:rPr>
      </w:pPr>
      <w:r>
        <w:rPr>
          <w:rFonts w:hint="eastAsia"/>
          <w:color w:val="auto"/>
          <w:highlight w:val="none"/>
          <w:lang w:val="en-US" w:eastAsia="zh-CN"/>
        </w:rPr>
        <w:t>7.乙方</w:t>
      </w:r>
      <w:r>
        <w:rPr>
          <w:rFonts w:hint="eastAsia"/>
          <w:color w:val="auto"/>
          <w:highlight w:val="none"/>
        </w:rPr>
        <w:t>必须在规定的时间内接送</w:t>
      </w:r>
      <w:r>
        <w:rPr>
          <w:rFonts w:hint="eastAsia"/>
          <w:color w:val="auto"/>
          <w:highlight w:val="none"/>
          <w:lang w:val="en-US" w:eastAsia="zh-CN"/>
        </w:rPr>
        <w:t>甲方</w:t>
      </w:r>
      <w:r>
        <w:rPr>
          <w:rFonts w:hint="eastAsia"/>
          <w:color w:val="auto"/>
          <w:highlight w:val="none"/>
        </w:rPr>
        <w:t>需洗涤的物品</w:t>
      </w:r>
      <w:r>
        <w:rPr>
          <w:rFonts w:hint="eastAsia"/>
          <w:color w:val="auto"/>
          <w:highlight w:val="none"/>
          <w:lang w:eastAsia="zh-CN"/>
        </w:rPr>
        <w:t>，</w:t>
      </w:r>
      <w:r>
        <w:rPr>
          <w:rFonts w:hint="eastAsia"/>
          <w:color w:val="auto"/>
          <w:highlight w:val="none"/>
        </w:rPr>
        <w:t>如有拖延情况</w:t>
      </w:r>
      <w:r>
        <w:rPr>
          <w:rFonts w:hint="eastAsia"/>
          <w:color w:val="auto"/>
          <w:highlight w:val="none"/>
          <w:lang w:eastAsia="zh-CN"/>
        </w:rPr>
        <w:t>，拖延</w:t>
      </w:r>
      <w:r>
        <w:rPr>
          <w:rFonts w:hint="eastAsia"/>
          <w:color w:val="auto"/>
          <w:highlight w:val="none"/>
          <w:lang w:val="en-US" w:eastAsia="zh-CN"/>
        </w:rPr>
        <w:t>5次以内予以警告，5次（含）以上或</w:t>
      </w:r>
      <w:r>
        <w:rPr>
          <w:rFonts w:hint="eastAsia"/>
          <w:color w:val="auto"/>
          <w:highlight w:val="none"/>
        </w:rPr>
        <w:t>严重影响到甲方工作的正常开展</w:t>
      </w:r>
      <w:r>
        <w:rPr>
          <w:rFonts w:hint="eastAsia"/>
          <w:color w:val="auto"/>
          <w:highlight w:val="none"/>
          <w:lang w:eastAsia="zh-CN"/>
        </w:rPr>
        <w:t>，</w:t>
      </w:r>
      <w:r>
        <w:rPr>
          <w:rFonts w:hint="eastAsia"/>
          <w:color w:val="auto"/>
          <w:highlight w:val="none"/>
          <w:lang w:val="en-US" w:eastAsia="zh-CN"/>
        </w:rPr>
        <w:t>甲方</w:t>
      </w:r>
      <w:r>
        <w:rPr>
          <w:rFonts w:hint="eastAsia"/>
          <w:color w:val="auto"/>
          <w:highlight w:val="none"/>
        </w:rPr>
        <w:t>可以扣除10%的</w:t>
      </w:r>
      <w:r>
        <w:rPr>
          <w:rFonts w:hint="eastAsia"/>
          <w:color w:val="auto"/>
          <w:highlight w:val="none"/>
          <w:lang w:val="en-US" w:eastAsia="zh-CN"/>
        </w:rPr>
        <w:t>履约保证金</w:t>
      </w:r>
      <w:r>
        <w:rPr>
          <w:rFonts w:hint="eastAsia"/>
          <w:color w:val="auto"/>
          <w:highlight w:val="none"/>
        </w:rPr>
        <w:t>作为违约费用，</w:t>
      </w:r>
      <w:r>
        <w:rPr>
          <w:rFonts w:hint="eastAsia"/>
          <w:color w:val="auto"/>
          <w:highlight w:val="none"/>
          <w:lang w:val="en-US" w:eastAsia="zh-CN"/>
        </w:rPr>
        <w:t>从洗涤费中扣除。</w:t>
      </w:r>
      <w:r>
        <w:rPr>
          <w:rFonts w:hint="eastAsia"/>
          <w:color w:val="auto"/>
          <w:highlight w:val="none"/>
        </w:rPr>
        <w:t>被扣超过5次的，</w:t>
      </w:r>
      <w:r>
        <w:rPr>
          <w:rFonts w:hint="eastAsia"/>
          <w:color w:val="auto"/>
          <w:highlight w:val="none"/>
          <w:lang w:val="en-US" w:eastAsia="zh-CN"/>
        </w:rPr>
        <w:t>甲方</w:t>
      </w:r>
      <w:r>
        <w:rPr>
          <w:rFonts w:hint="eastAsia"/>
          <w:color w:val="auto"/>
          <w:highlight w:val="none"/>
        </w:rPr>
        <w:t>有权单方解除与</w:t>
      </w:r>
      <w:r>
        <w:rPr>
          <w:rFonts w:hint="eastAsia"/>
          <w:color w:val="auto"/>
          <w:highlight w:val="none"/>
          <w:lang w:val="en-US" w:eastAsia="zh-CN"/>
        </w:rPr>
        <w:t>乙方</w:t>
      </w:r>
      <w:r>
        <w:rPr>
          <w:rFonts w:hint="eastAsia"/>
          <w:color w:val="auto"/>
          <w:highlight w:val="none"/>
        </w:rPr>
        <w:t>的合作关系。</w:t>
      </w:r>
    </w:p>
    <w:p w14:paraId="551D40A2">
      <w:pPr>
        <w:suppressAutoHyphens/>
        <w:snapToGrid w:val="0"/>
        <w:spacing w:line="400" w:lineRule="exact"/>
        <w:ind w:firstLine="420" w:firstLineChars="200"/>
        <w:rPr>
          <w:rFonts w:hint="eastAsia" w:ascii="宋体" w:hAnsi="宋体" w:cs="宋体"/>
          <w:color w:val="auto"/>
          <w:kern w:val="1"/>
          <w:szCs w:val="21"/>
          <w:highlight w:val="none"/>
          <w:lang w:val="en-US" w:eastAsia="zh-CN"/>
        </w:rPr>
      </w:pPr>
      <w:r>
        <w:rPr>
          <w:rFonts w:hint="eastAsia" w:ascii="宋体" w:hAnsi="宋体" w:cs="宋体"/>
          <w:color w:val="auto"/>
          <w:kern w:val="1"/>
          <w:szCs w:val="21"/>
          <w:lang w:val="en-US" w:eastAsia="zh-CN"/>
        </w:rPr>
        <w:t>8.</w:t>
      </w:r>
      <w:r>
        <w:rPr>
          <w:rFonts w:hint="eastAsia" w:ascii="宋体" w:hAnsi="宋体" w:eastAsia="宋体" w:cs="宋体"/>
          <w:color w:val="auto"/>
          <w:kern w:val="1"/>
          <w:szCs w:val="21"/>
        </w:rPr>
        <w:t>乙方未按约提供合法有效的足额发票的，除须向甲方补开发票外，</w:t>
      </w:r>
      <w:r>
        <w:rPr>
          <w:rFonts w:hint="eastAsia" w:ascii="宋体" w:hAnsi="宋体" w:eastAsia="宋体" w:cs="宋体"/>
          <w:color w:val="auto"/>
          <w:kern w:val="1"/>
          <w:szCs w:val="21"/>
          <w:highlight w:val="none"/>
        </w:rPr>
        <w:t>还须自应提供发票之日起，每日按未提供发票金额的万分之五向甲方支付违约金，直至提供合格发票之日止。</w:t>
      </w:r>
    </w:p>
    <w:p w14:paraId="5ECBF8AE">
      <w:pPr>
        <w:suppressAutoHyphens/>
        <w:snapToGrid w:val="0"/>
        <w:spacing w:line="400" w:lineRule="exact"/>
        <w:ind w:firstLine="420" w:firstLineChars="200"/>
        <w:rPr>
          <w:rFonts w:hint="eastAsia" w:ascii="宋体" w:hAnsi="宋体" w:eastAsia="宋体" w:cs="宋体"/>
          <w:color w:val="auto"/>
          <w:kern w:val="1"/>
          <w:szCs w:val="21"/>
        </w:rPr>
      </w:pPr>
      <w:r>
        <w:rPr>
          <w:rFonts w:hint="eastAsia" w:ascii="宋体" w:hAnsi="宋体" w:cs="宋体"/>
          <w:color w:val="auto"/>
          <w:kern w:val="1"/>
          <w:szCs w:val="21"/>
          <w:lang w:val="en-US" w:eastAsia="zh-CN"/>
        </w:rPr>
        <w:t>9.</w:t>
      </w:r>
      <w:r>
        <w:rPr>
          <w:rFonts w:hint="eastAsia" w:ascii="宋体" w:hAnsi="宋体" w:eastAsia="宋体" w:cs="宋体"/>
          <w:color w:val="auto"/>
          <w:kern w:val="1"/>
          <w:szCs w:val="21"/>
        </w:rPr>
        <w:t>任何一方存在任何违约行为的，除按合同约定承担违约责任外，还应赔偿守约方的一切经济损失（包括但不限于律师费、诉讼费、保全费等）。</w:t>
      </w:r>
    </w:p>
    <w:p w14:paraId="14776363">
      <w:pPr>
        <w:spacing w:line="440" w:lineRule="exact"/>
        <w:ind w:firstLine="420" w:firstLineChars="200"/>
        <w:rPr>
          <w:rFonts w:hint="eastAsia"/>
          <w:color w:val="auto"/>
          <w:highlight w:val="none"/>
        </w:rPr>
      </w:pPr>
      <w:r>
        <w:rPr>
          <w:rFonts w:hint="eastAsia" w:ascii="宋体" w:hAnsi="宋体" w:cs="宋体"/>
          <w:color w:val="auto"/>
          <w:kern w:val="1"/>
          <w:szCs w:val="21"/>
          <w:lang w:val="en-US" w:eastAsia="zh-CN"/>
        </w:rPr>
        <w:t>10.</w:t>
      </w:r>
      <w:r>
        <w:rPr>
          <w:rFonts w:hint="eastAsia"/>
          <w:color w:val="auto"/>
          <w:highlight w:val="none"/>
        </w:rPr>
        <w:t>发生洗涤质量与服务投诉时</w:t>
      </w:r>
      <w:r>
        <w:rPr>
          <w:rFonts w:hint="eastAsia"/>
          <w:color w:val="auto"/>
          <w:highlight w:val="none"/>
          <w:lang w:eastAsia="zh-CN"/>
        </w:rPr>
        <w:t>，</w:t>
      </w:r>
      <w:r>
        <w:rPr>
          <w:rFonts w:hint="eastAsia"/>
          <w:color w:val="auto"/>
          <w:highlight w:val="none"/>
        </w:rPr>
        <w:t>乙方应予全面配合调查，按照甲方相关管理科室提出的整改要求</w:t>
      </w:r>
      <w:r>
        <w:rPr>
          <w:rFonts w:hint="eastAsia"/>
          <w:color w:val="auto"/>
          <w:highlight w:val="none"/>
          <w:lang w:eastAsia="zh-CN"/>
        </w:rPr>
        <w:t>，</w:t>
      </w:r>
      <w:r>
        <w:rPr>
          <w:rFonts w:hint="eastAsia"/>
          <w:color w:val="auto"/>
          <w:highlight w:val="none"/>
        </w:rPr>
        <w:t>积极进行整改</w:t>
      </w:r>
      <w:r>
        <w:rPr>
          <w:rFonts w:hint="eastAsia"/>
          <w:color w:val="auto"/>
          <w:highlight w:val="none"/>
          <w:lang w:eastAsia="zh-CN"/>
        </w:rPr>
        <w:t>，</w:t>
      </w:r>
      <w:r>
        <w:rPr>
          <w:rFonts w:hint="eastAsia"/>
          <w:color w:val="auto"/>
          <w:highlight w:val="none"/>
        </w:rPr>
        <w:t>不断提高洗涤质量和服务满意度。如发生严重质量与服务投诉，</w:t>
      </w:r>
      <w:r>
        <w:rPr>
          <w:rFonts w:hint="eastAsia"/>
          <w:color w:val="auto"/>
          <w:highlight w:val="none"/>
          <w:lang w:eastAsia="zh-CN"/>
        </w:rPr>
        <w:t>每次</w:t>
      </w:r>
      <w:r>
        <w:rPr>
          <w:rFonts w:hint="eastAsia"/>
          <w:color w:val="auto"/>
          <w:highlight w:val="none"/>
        </w:rPr>
        <w:t>经调查属实，</w:t>
      </w:r>
      <w:r>
        <w:rPr>
          <w:rFonts w:hint="eastAsia"/>
          <w:color w:val="auto"/>
          <w:highlight w:val="none"/>
          <w:lang w:val="en-US" w:eastAsia="zh-CN"/>
        </w:rPr>
        <w:t>甲方</w:t>
      </w:r>
      <w:r>
        <w:rPr>
          <w:rFonts w:hint="eastAsia"/>
          <w:color w:val="auto"/>
          <w:highlight w:val="none"/>
        </w:rPr>
        <w:t>可单次扣除</w:t>
      </w:r>
      <w:r>
        <w:rPr>
          <w:rFonts w:hint="eastAsia"/>
          <w:color w:val="auto"/>
          <w:highlight w:val="none"/>
          <w:lang w:val="en-US" w:eastAsia="zh-CN"/>
        </w:rPr>
        <w:t>履约保证金</w:t>
      </w:r>
      <w:r>
        <w:rPr>
          <w:rFonts w:hint="eastAsia"/>
          <w:color w:val="auto"/>
          <w:highlight w:val="none"/>
        </w:rPr>
        <w:t>全额10%的</w:t>
      </w:r>
      <w:r>
        <w:rPr>
          <w:rFonts w:hint="eastAsia"/>
          <w:color w:val="auto"/>
          <w:highlight w:val="none"/>
          <w:lang w:val="en-US" w:eastAsia="zh-CN"/>
        </w:rPr>
        <w:t>违约金</w:t>
      </w:r>
      <w:r>
        <w:rPr>
          <w:rFonts w:hint="eastAsia"/>
          <w:color w:val="auto"/>
          <w:highlight w:val="none"/>
          <w:lang w:eastAsia="zh-CN"/>
        </w:rPr>
        <w:t>，</w:t>
      </w:r>
      <w:r>
        <w:rPr>
          <w:rFonts w:hint="eastAsia"/>
          <w:color w:val="auto"/>
          <w:highlight w:val="none"/>
          <w:lang w:val="en-US" w:eastAsia="zh-CN"/>
        </w:rPr>
        <w:t>从洗涤费中扣除</w:t>
      </w:r>
      <w:r>
        <w:rPr>
          <w:rFonts w:hint="eastAsia"/>
          <w:color w:val="auto"/>
          <w:highlight w:val="none"/>
        </w:rPr>
        <w:t>。</w:t>
      </w:r>
    </w:p>
    <w:p w14:paraId="7E0488D7">
      <w:pPr>
        <w:spacing w:line="440" w:lineRule="exact"/>
        <w:ind w:firstLine="420" w:firstLineChars="200"/>
        <w:rPr>
          <w:rFonts w:hint="eastAsia"/>
          <w:color w:val="auto"/>
          <w:highlight w:val="none"/>
        </w:rPr>
      </w:pPr>
      <w:r>
        <w:rPr>
          <w:rFonts w:hint="eastAsia"/>
          <w:color w:val="auto"/>
          <w:highlight w:val="none"/>
          <w:lang w:val="en-US" w:eastAsia="zh-CN"/>
        </w:rPr>
        <w:t>11.乙方</w:t>
      </w:r>
      <w:r>
        <w:rPr>
          <w:rFonts w:hint="eastAsia"/>
          <w:color w:val="auto"/>
          <w:highlight w:val="none"/>
        </w:rPr>
        <w:t>必须如实提交洗涤物品的《交接单》</w:t>
      </w:r>
      <w:r>
        <w:rPr>
          <w:rFonts w:hint="eastAsia"/>
          <w:color w:val="auto"/>
          <w:highlight w:val="none"/>
          <w:lang w:eastAsia="zh-CN"/>
        </w:rPr>
        <w:t>，</w:t>
      </w:r>
      <w:r>
        <w:rPr>
          <w:rFonts w:hint="eastAsia"/>
          <w:color w:val="auto"/>
          <w:highlight w:val="none"/>
        </w:rPr>
        <w:t>如发现虚报、重复计费等弄虚作假的行为</w:t>
      </w:r>
      <w:r>
        <w:rPr>
          <w:rFonts w:hint="eastAsia"/>
          <w:color w:val="auto"/>
          <w:highlight w:val="none"/>
          <w:lang w:eastAsia="zh-CN"/>
        </w:rPr>
        <w:t>，</w:t>
      </w:r>
      <w:r>
        <w:rPr>
          <w:rFonts w:hint="eastAsia"/>
          <w:color w:val="auto"/>
          <w:highlight w:val="none"/>
          <w:lang w:val="en-US" w:eastAsia="zh-CN"/>
        </w:rPr>
        <w:t>甲方</w:t>
      </w:r>
      <w:r>
        <w:rPr>
          <w:rFonts w:hint="eastAsia"/>
          <w:color w:val="auto"/>
          <w:highlight w:val="none"/>
        </w:rPr>
        <w:t>可单次扣除</w:t>
      </w:r>
      <w:r>
        <w:rPr>
          <w:rFonts w:hint="eastAsia"/>
          <w:color w:val="auto"/>
          <w:highlight w:val="none"/>
          <w:lang w:val="en-US" w:eastAsia="zh-CN"/>
        </w:rPr>
        <w:t>履约保证金10000元的违约金</w:t>
      </w:r>
      <w:r>
        <w:rPr>
          <w:rFonts w:hint="eastAsia"/>
          <w:color w:val="auto"/>
          <w:highlight w:val="none"/>
          <w:lang w:eastAsia="zh-CN"/>
        </w:rPr>
        <w:t>，</w:t>
      </w:r>
      <w:r>
        <w:rPr>
          <w:rFonts w:hint="eastAsia"/>
          <w:color w:val="auto"/>
          <w:highlight w:val="none"/>
          <w:lang w:val="en-US" w:eastAsia="zh-CN"/>
        </w:rPr>
        <w:t>违约金</w:t>
      </w:r>
      <w:r>
        <w:rPr>
          <w:rFonts w:hint="eastAsia"/>
          <w:color w:val="auto"/>
          <w:highlight w:val="none"/>
        </w:rPr>
        <w:t>从当月的洗涤费中扣除。</w:t>
      </w:r>
    </w:p>
    <w:p w14:paraId="3F7A9628">
      <w:pPr>
        <w:spacing w:before="217" w:line="376" w:lineRule="auto"/>
        <w:ind w:right="70" w:firstLine="420" w:firstLineChars="200"/>
        <w:rPr>
          <w:rFonts w:hint="eastAsia" w:ascii="宋体" w:hAnsi="宋体" w:eastAsia="宋体" w:cs="宋体"/>
          <w:color w:val="auto"/>
          <w:spacing w:val="-7"/>
          <w:sz w:val="21"/>
          <w:szCs w:val="21"/>
          <w:highlight w:val="none"/>
          <w:lang w:val="en-US" w:eastAsia="zh-CN"/>
        </w:rPr>
      </w:pPr>
      <w:r>
        <w:rPr>
          <w:rFonts w:hint="eastAsia" w:hAnsi="宋体" w:cs="宋体"/>
          <w:b w:val="0"/>
          <w:color w:val="auto"/>
          <w:kern w:val="1"/>
          <w:szCs w:val="21"/>
          <w:lang w:val="en-US" w:eastAsia="zh-CN"/>
        </w:rPr>
        <w:t xml:space="preserve">12. </w:t>
      </w:r>
      <w:r>
        <w:rPr>
          <w:rFonts w:ascii="宋体" w:hAnsi="宋体" w:eastAsia="宋体" w:cs="宋体"/>
          <w:color w:val="auto"/>
          <w:spacing w:val="-7"/>
          <w:sz w:val="21"/>
          <w:szCs w:val="21"/>
          <w:highlight w:val="none"/>
        </w:rPr>
        <w:t>全院医用织物洗涤、消毒程序符合《医疗机构消毒技术规范（WS/T367-2012） 》、《医院医用织物洗涤消毒技术规范（WS/T508-2016） 》的标准</w:t>
      </w:r>
      <w:r>
        <w:rPr>
          <w:rFonts w:hint="eastAsia" w:ascii="宋体" w:hAnsi="宋体" w:eastAsia="宋体" w:cs="宋体"/>
          <w:color w:val="auto"/>
          <w:spacing w:val="-7"/>
          <w:sz w:val="21"/>
          <w:szCs w:val="21"/>
          <w:highlight w:val="none"/>
          <w:lang w:eastAsia="zh-CN"/>
        </w:rPr>
        <w:t>，对</w:t>
      </w:r>
      <w:r>
        <w:rPr>
          <w:rFonts w:ascii="宋体" w:hAnsi="宋体" w:eastAsia="宋体" w:cs="宋体"/>
          <w:color w:val="auto"/>
          <w:spacing w:val="-7"/>
          <w:sz w:val="21"/>
          <w:szCs w:val="21"/>
          <w:highlight w:val="none"/>
        </w:rPr>
        <w:t>洗涤消毒后的被服布料进行消毒效果检测，合格率 100%，菌落数≤5，不含致病菌，</w:t>
      </w:r>
      <w:r>
        <w:rPr>
          <w:rFonts w:hint="eastAsia" w:ascii="宋体" w:hAnsi="宋体" w:eastAsia="宋体" w:cs="宋体"/>
          <w:color w:val="auto"/>
          <w:spacing w:val="-7"/>
          <w:sz w:val="21"/>
          <w:szCs w:val="21"/>
          <w:highlight w:val="none"/>
          <w:lang w:val="en-US" w:eastAsia="zh-CN"/>
        </w:rPr>
        <w:t>乙方</w:t>
      </w:r>
      <w:r>
        <w:rPr>
          <w:rFonts w:ascii="宋体" w:hAnsi="宋体" w:eastAsia="宋体" w:cs="宋体"/>
          <w:color w:val="auto"/>
          <w:spacing w:val="-7"/>
          <w:sz w:val="21"/>
          <w:szCs w:val="21"/>
          <w:highlight w:val="none"/>
        </w:rPr>
        <w:t>每年提供给</w:t>
      </w:r>
      <w:r>
        <w:rPr>
          <w:rFonts w:hint="eastAsia" w:ascii="宋体" w:hAnsi="宋体" w:eastAsia="宋体" w:cs="宋体"/>
          <w:color w:val="auto"/>
          <w:spacing w:val="-7"/>
          <w:sz w:val="21"/>
          <w:szCs w:val="21"/>
          <w:highlight w:val="none"/>
          <w:lang w:val="en-US" w:eastAsia="zh-CN"/>
        </w:rPr>
        <w:t>甲方</w:t>
      </w:r>
      <w:r>
        <w:rPr>
          <w:rFonts w:ascii="宋体" w:hAnsi="宋体" w:eastAsia="宋体" w:cs="宋体"/>
          <w:color w:val="auto"/>
          <w:spacing w:val="-7"/>
          <w:sz w:val="21"/>
          <w:szCs w:val="21"/>
          <w:highlight w:val="none"/>
        </w:rPr>
        <w:t>两次由市级以上卫生防疫部门对洗净被服消毒效果的监测报告 （报告需</w:t>
      </w:r>
      <w:r>
        <w:rPr>
          <w:rFonts w:hint="eastAsia" w:ascii="宋体" w:hAnsi="宋体" w:eastAsia="宋体" w:cs="宋体"/>
          <w:color w:val="auto"/>
          <w:spacing w:val="-7"/>
          <w:sz w:val="21"/>
          <w:szCs w:val="21"/>
          <w:highlight w:val="none"/>
          <w:lang w:eastAsia="zh-CN"/>
        </w:rPr>
        <w:t>加盖</w:t>
      </w:r>
      <w:r>
        <w:rPr>
          <w:rFonts w:hint="eastAsia" w:ascii="宋体" w:hAnsi="宋体" w:eastAsia="宋体" w:cs="宋体"/>
          <w:color w:val="auto"/>
          <w:spacing w:val="-7"/>
          <w:sz w:val="21"/>
          <w:szCs w:val="21"/>
          <w:highlight w:val="none"/>
          <w:lang w:val="en-US" w:eastAsia="zh-CN"/>
        </w:rPr>
        <w:t>乙方</w:t>
      </w:r>
      <w:r>
        <w:rPr>
          <w:rFonts w:ascii="宋体" w:hAnsi="宋体" w:eastAsia="宋体" w:cs="宋体"/>
          <w:color w:val="auto"/>
          <w:spacing w:val="-7"/>
          <w:sz w:val="21"/>
          <w:szCs w:val="21"/>
          <w:highlight w:val="none"/>
        </w:rPr>
        <w:t>公章） ，如</w:t>
      </w:r>
      <w:r>
        <w:rPr>
          <w:rFonts w:hint="eastAsia" w:ascii="宋体" w:hAnsi="宋体" w:eastAsia="宋体" w:cs="宋体"/>
          <w:color w:val="auto"/>
          <w:spacing w:val="-7"/>
          <w:sz w:val="21"/>
          <w:szCs w:val="21"/>
          <w:highlight w:val="none"/>
          <w:lang w:val="en-US" w:eastAsia="zh-CN"/>
        </w:rPr>
        <w:t>甲方</w:t>
      </w:r>
      <w:r>
        <w:rPr>
          <w:rFonts w:ascii="宋体" w:hAnsi="宋体" w:eastAsia="宋体" w:cs="宋体"/>
          <w:color w:val="auto"/>
          <w:spacing w:val="-7"/>
          <w:sz w:val="21"/>
          <w:szCs w:val="21"/>
          <w:highlight w:val="none"/>
        </w:rPr>
        <w:t>有疑问，则由双方共同认可的机构在双方工作人员</w:t>
      </w:r>
      <w:r>
        <w:rPr>
          <w:rFonts w:hint="eastAsia" w:ascii="宋体" w:hAnsi="宋体" w:eastAsia="宋体" w:cs="宋体"/>
          <w:color w:val="auto"/>
          <w:spacing w:val="-7"/>
          <w:sz w:val="21"/>
          <w:szCs w:val="21"/>
          <w:highlight w:val="none"/>
          <w:lang w:eastAsia="zh-CN"/>
        </w:rPr>
        <w:t>在现</w:t>
      </w:r>
      <w:r>
        <w:rPr>
          <w:rFonts w:ascii="宋体" w:hAnsi="宋体" w:eastAsia="宋体" w:cs="宋体"/>
          <w:color w:val="auto"/>
          <w:spacing w:val="-7"/>
          <w:sz w:val="21"/>
          <w:szCs w:val="21"/>
          <w:highlight w:val="none"/>
        </w:rPr>
        <w:t>场监督的情况下对衣物布草进行抽样检测。检测费用由</w:t>
      </w:r>
      <w:r>
        <w:rPr>
          <w:rFonts w:hint="eastAsia" w:ascii="宋体" w:hAnsi="宋体" w:eastAsia="宋体" w:cs="宋体"/>
          <w:color w:val="auto"/>
          <w:spacing w:val="-7"/>
          <w:sz w:val="21"/>
          <w:szCs w:val="21"/>
          <w:highlight w:val="none"/>
          <w:lang w:val="en-US" w:eastAsia="zh-CN"/>
        </w:rPr>
        <w:t>乙方</w:t>
      </w:r>
      <w:r>
        <w:rPr>
          <w:rFonts w:ascii="宋体" w:hAnsi="宋体" w:eastAsia="宋体" w:cs="宋体"/>
          <w:color w:val="auto"/>
          <w:spacing w:val="-7"/>
          <w:sz w:val="21"/>
          <w:szCs w:val="21"/>
          <w:highlight w:val="none"/>
        </w:rPr>
        <w:t>负责支付。若相关检测报告 检测的结果不符合行业洗涤卫生标准，采购人处罚 2000 元/次，从洗涤费用中扣除；</w:t>
      </w:r>
      <w:r>
        <w:rPr>
          <w:rFonts w:hint="eastAsia" w:ascii="宋体" w:hAnsi="宋体" w:eastAsia="宋体" w:cs="宋体"/>
          <w:color w:val="auto"/>
          <w:spacing w:val="-7"/>
          <w:sz w:val="21"/>
          <w:szCs w:val="21"/>
          <w:highlight w:val="none"/>
          <w:lang w:val="en-US" w:eastAsia="zh-CN"/>
        </w:rPr>
        <w:t>乙方</w:t>
      </w:r>
      <w:r>
        <w:rPr>
          <w:rFonts w:ascii="宋体" w:hAnsi="宋体" w:eastAsia="宋体" w:cs="宋体"/>
          <w:color w:val="auto"/>
          <w:spacing w:val="-7"/>
          <w:sz w:val="21"/>
          <w:szCs w:val="21"/>
          <w:highlight w:val="none"/>
        </w:rPr>
        <w:t>应立即整改， 提供整改后的监测报告，整改后仍不合格，</w:t>
      </w:r>
      <w:r>
        <w:rPr>
          <w:rFonts w:hint="eastAsia" w:ascii="宋体" w:hAnsi="宋体" w:eastAsia="宋体" w:cs="宋体"/>
          <w:color w:val="auto"/>
          <w:spacing w:val="-7"/>
          <w:sz w:val="21"/>
          <w:szCs w:val="21"/>
          <w:highlight w:val="none"/>
          <w:lang w:val="en-US" w:eastAsia="zh-CN"/>
        </w:rPr>
        <w:t>甲方</w:t>
      </w:r>
      <w:r>
        <w:rPr>
          <w:rFonts w:ascii="宋体" w:hAnsi="宋体" w:eastAsia="宋体" w:cs="宋体"/>
          <w:color w:val="auto"/>
          <w:spacing w:val="-7"/>
          <w:sz w:val="21"/>
          <w:szCs w:val="21"/>
          <w:highlight w:val="none"/>
        </w:rPr>
        <w:t>有权</w:t>
      </w:r>
      <w:r>
        <w:rPr>
          <w:rFonts w:hint="eastAsia" w:ascii="宋体" w:hAnsi="宋体" w:eastAsia="宋体" w:cs="宋体"/>
          <w:color w:val="auto"/>
          <w:spacing w:val="9"/>
          <w:sz w:val="21"/>
          <w:szCs w:val="21"/>
          <w:highlight w:val="none"/>
          <w:lang w:eastAsia="zh-CN"/>
        </w:rPr>
        <w:t>解除</w:t>
      </w:r>
      <w:r>
        <w:rPr>
          <w:rFonts w:ascii="宋体" w:hAnsi="宋体" w:eastAsia="宋体" w:cs="宋体"/>
          <w:color w:val="auto"/>
          <w:spacing w:val="-7"/>
          <w:sz w:val="21"/>
          <w:szCs w:val="21"/>
          <w:highlight w:val="none"/>
        </w:rPr>
        <w:t>合</w:t>
      </w:r>
      <w:r>
        <w:rPr>
          <w:rFonts w:hint="eastAsia" w:ascii="宋体" w:hAnsi="宋体" w:eastAsia="宋体" w:cs="宋体"/>
          <w:color w:val="auto"/>
          <w:spacing w:val="-7"/>
          <w:sz w:val="21"/>
          <w:szCs w:val="21"/>
          <w:highlight w:val="none"/>
          <w:lang w:val="en-US" w:eastAsia="zh-CN"/>
        </w:rPr>
        <w:t>同。</w:t>
      </w:r>
    </w:p>
    <w:p w14:paraId="3EE7E5A2">
      <w:pPr>
        <w:spacing w:before="217" w:line="376" w:lineRule="auto"/>
        <w:ind w:right="70" w:firstLine="422" w:firstLineChars="200"/>
        <w:rPr>
          <w:rFonts w:hint="eastAsia" w:ascii="宋体" w:hAnsi="宋体" w:eastAsia="宋体" w:cs="宋体"/>
          <w:b/>
          <w:color w:val="auto"/>
          <w:szCs w:val="21"/>
        </w:rPr>
      </w:pPr>
      <w:r>
        <w:rPr>
          <w:rFonts w:hint="eastAsia" w:ascii="宋体" w:hAnsi="宋体" w:eastAsia="宋体" w:cs="宋体"/>
          <w:b/>
          <w:color w:val="auto"/>
          <w:szCs w:val="21"/>
        </w:rPr>
        <w:t>第十</w:t>
      </w:r>
      <w:r>
        <w:rPr>
          <w:rFonts w:hint="eastAsia" w:ascii="宋体" w:hAnsi="宋体" w:eastAsia="宋体" w:cs="宋体"/>
          <w:b/>
          <w:color w:val="auto"/>
          <w:szCs w:val="21"/>
          <w:lang w:val="en-US" w:eastAsia="zh-CN"/>
        </w:rPr>
        <w:t>三</w:t>
      </w:r>
      <w:r>
        <w:rPr>
          <w:rFonts w:hint="eastAsia" w:ascii="宋体" w:hAnsi="宋体" w:eastAsia="宋体" w:cs="宋体"/>
          <w:b/>
          <w:color w:val="auto"/>
          <w:szCs w:val="21"/>
        </w:rPr>
        <w:t>条 不可抗力事件处理</w:t>
      </w:r>
    </w:p>
    <w:p w14:paraId="591B720A">
      <w:pPr>
        <w:suppressAutoHyphens/>
        <w:snapToGrid w:val="0"/>
        <w:spacing w:line="400" w:lineRule="exact"/>
        <w:ind w:firstLine="420" w:firstLineChars="200"/>
        <w:rPr>
          <w:rFonts w:hint="eastAsia" w:ascii="宋体" w:hAnsi="宋体" w:eastAsia="宋体" w:cs="宋体"/>
          <w:color w:val="auto"/>
          <w:kern w:val="1"/>
          <w:szCs w:val="21"/>
        </w:rPr>
      </w:pPr>
      <w:r>
        <w:rPr>
          <w:rFonts w:hint="eastAsia" w:ascii="宋体" w:hAnsi="宋体" w:eastAsia="宋体" w:cs="宋体"/>
          <w:color w:val="auto"/>
          <w:kern w:val="1"/>
          <w:szCs w:val="21"/>
        </w:rPr>
        <w:t>1. 在合同有效期内，任何一方因不可抗力事件导致不能履行合同，则合同履行期可延长，其延长期与不可抗力影响期相同。</w:t>
      </w:r>
    </w:p>
    <w:p w14:paraId="7D1EA14C">
      <w:pPr>
        <w:suppressAutoHyphens/>
        <w:snapToGrid w:val="0"/>
        <w:spacing w:line="400" w:lineRule="exact"/>
        <w:ind w:firstLine="420" w:firstLineChars="200"/>
        <w:rPr>
          <w:rFonts w:hint="eastAsia" w:ascii="宋体" w:hAnsi="宋体" w:eastAsia="宋体" w:cs="宋体"/>
          <w:color w:val="auto"/>
          <w:kern w:val="1"/>
          <w:szCs w:val="21"/>
        </w:rPr>
      </w:pPr>
      <w:r>
        <w:rPr>
          <w:rFonts w:hint="eastAsia" w:ascii="宋体" w:hAnsi="宋体" w:eastAsia="宋体" w:cs="宋体"/>
          <w:color w:val="auto"/>
          <w:kern w:val="1"/>
          <w:szCs w:val="21"/>
        </w:rPr>
        <w:t>2. 不可抗力事件发生后，应立即通知对方，并寄送有关权威机构出具的证明。</w:t>
      </w:r>
    </w:p>
    <w:p w14:paraId="30E9299A">
      <w:pPr>
        <w:suppressAutoHyphens/>
        <w:snapToGrid w:val="0"/>
        <w:spacing w:line="400" w:lineRule="exact"/>
        <w:ind w:firstLine="420" w:firstLineChars="200"/>
        <w:rPr>
          <w:rFonts w:hint="eastAsia" w:ascii="宋体" w:hAnsi="宋体" w:eastAsia="宋体" w:cs="宋体"/>
          <w:color w:val="auto"/>
          <w:kern w:val="1"/>
          <w:szCs w:val="21"/>
        </w:rPr>
      </w:pPr>
      <w:r>
        <w:rPr>
          <w:rFonts w:hint="eastAsia" w:ascii="宋体" w:hAnsi="宋体" w:eastAsia="宋体" w:cs="宋体"/>
          <w:color w:val="auto"/>
          <w:kern w:val="1"/>
          <w:szCs w:val="21"/>
        </w:rPr>
        <w:t>3. 不可抗力事件延续一百二十天以上，双方应通过友好协商，确定是否继续履行合同。</w:t>
      </w:r>
    </w:p>
    <w:p w14:paraId="37CCE346">
      <w:pPr>
        <w:keepNext w:val="0"/>
        <w:keepLines w:val="0"/>
        <w:pageBreakBefore w:val="0"/>
        <w:kinsoku/>
        <w:overflowPunct/>
        <w:topLinePunct w:val="0"/>
        <w:autoSpaceDE w:val="0"/>
        <w:autoSpaceDN/>
        <w:bidi w:val="0"/>
        <w:adjustRightInd/>
        <w:spacing w:line="380" w:lineRule="exact"/>
        <w:ind w:firstLine="435"/>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不可抗力是指合同生效后，发生甲乙双方无法预见、无法预防、无法避免和无法控制的事件，致使无法履行或不能按约定履行合同。主要包括台风、冰雹、地震、海啸、洪水、火山爆发、山体滑坡、政府征收、政府征用、战争、武装冲突、罢工、骚乱、暴动、突发公共卫生事件等情形。</w:t>
      </w:r>
    </w:p>
    <w:p w14:paraId="4B33D675">
      <w:pPr>
        <w:pStyle w:val="2"/>
        <w:rPr>
          <w:rFonts w:hint="eastAsia"/>
          <w:color w:val="auto"/>
        </w:rPr>
      </w:pPr>
    </w:p>
    <w:p w14:paraId="28BEBB30">
      <w:pPr>
        <w:snapToGrid w:val="0"/>
        <w:spacing w:before="120" w:after="120" w:line="400" w:lineRule="exact"/>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第十</w:t>
      </w:r>
      <w:r>
        <w:rPr>
          <w:rFonts w:hint="eastAsia" w:ascii="宋体" w:hAnsi="宋体" w:eastAsia="宋体" w:cs="宋体"/>
          <w:b/>
          <w:color w:val="auto"/>
          <w:szCs w:val="21"/>
          <w:lang w:val="en-US" w:eastAsia="zh-CN"/>
        </w:rPr>
        <w:t>四</w:t>
      </w:r>
      <w:r>
        <w:rPr>
          <w:rFonts w:hint="eastAsia" w:ascii="宋体" w:hAnsi="宋体" w:eastAsia="宋体" w:cs="宋体"/>
          <w:b/>
          <w:color w:val="auto"/>
          <w:szCs w:val="21"/>
        </w:rPr>
        <w:t>条 合同争议解决</w:t>
      </w:r>
    </w:p>
    <w:p w14:paraId="7050B337">
      <w:pPr>
        <w:suppressAutoHyphens/>
        <w:snapToGrid w:val="0"/>
        <w:spacing w:line="400" w:lineRule="exact"/>
        <w:ind w:firstLine="420" w:firstLineChars="200"/>
        <w:rPr>
          <w:rFonts w:hint="eastAsia" w:ascii="宋体" w:hAnsi="宋体" w:eastAsia="宋体" w:cs="宋体"/>
          <w:color w:val="auto"/>
          <w:kern w:val="1"/>
          <w:szCs w:val="21"/>
        </w:rPr>
      </w:pPr>
      <w:r>
        <w:rPr>
          <w:rFonts w:hint="eastAsia" w:ascii="宋体" w:hAnsi="宋体" w:eastAsia="宋体" w:cs="宋体"/>
          <w:color w:val="auto"/>
          <w:kern w:val="1"/>
          <w:szCs w:val="21"/>
        </w:rPr>
        <w:t>1. 因服务成果质量问题发生争议的，应邀请国家认可的质量检测机构按照国家标准对货物质量进行</w:t>
      </w:r>
      <w:r>
        <w:rPr>
          <w:rFonts w:hint="eastAsia" w:ascii="宋体" w:hAnsi="宋体" w:eastAsia="宋体" w:cs="宋体"/>
          <w:color w:val="auto"/>
          <w:kern w:val="1"/>
          <w:szCs w:val="21"/>
          <w:lang w:eastAsia="zh-Hans"/>
        </w:rPr>
        <w:t>鉴定</w:t>
      </w:r>
      <w:r>
        <w:rPr>
          <w:rFonts w:hint="eastAsia" w:ascii="宋体" w:hAnsi="宋体" w:eastAsia="宋体" w:cs="宋体"/>
          <w:color w:val="auto"/>
          <w:kern w:val="1"/>
          <w:szCs w:val="21"/>
        </w:rPr>
        <w:t>。服务成果符合国家标准的，鉴定费由甲方承担；服务成果不符合国家标准的，鉴定费由乙方承担。</w:t>
      </w:r>
    </w:p>
    <w:p w14:paraId="4966F69B">
      <w:pPr>
        <w:suppressAutoHyphens/>
        <w:snapToGrid w:val="0"/>
        <w:spacing w:line="400" w:lineRule="exact"/>
        <w:ind w:firstLine="420" w:firstLineChars="200"/>
        <w:rPr>
          <w:rFonts w:hint="eastAsia" w:ascii="宋体" w:hAnsi="宋体" w:eastAsia="宋体" w:cs="宋体"/>
          <w:color w:val="auto"/>
          <w:kern w:val="1"/>
          <w:szCs w:val="21"/>
        </w:rPr>
      </w:pPr>
      <w:r>
        <w:rPr>
          <w:rFonts w:hint="eastAsia" w:ascii="宋体" w:hAnsi="宋体" w:eastAsia="宋体" w:cs="宋体"/>
          <w:color w:val="auto"/>
          <w:kern w:val="1"/>
          <w:szCs w:val="21"/>
        </w:rPr>
        <w:t>2. 因履行本合同引起的或与本合同有关的争议，甲乙双方应首先通过友好协商解决，如果协商不能解决，可向甲方所在地人民法院提起诉讼。</w:t>
      </w:r>
    </w:p>
    <w:p w14:paraId="52462C30">
      <w:pPr>
        <w:suppressAutoHyphens/>
        <w:snapToGrid w:val="0"/>
        <w:spacing w:line="400" w:lineRule="exact"/>
        <w:ind w:firstLine="420" w:firstLineChars="200"/>
        <w:rPr>
          <w:rFonts w:hint="eastAsia" w:ascii="宋体" w:hAnsi="宋体" w:eastAsia="宋体" w:cs="宋体"/>
          <w:color w:val="auto"/>
          <w:kern w:val="1"/>
          <w:szCs w:val="21"/>
        </w:rPr>
      </w:pPr>
      <w:r>
        <w:rPr>
          <w:rFonts w:hint="eastAsia" w:ascii="宋体" w:hAnsi="宋体" w:eastAsia="宋体" w:cs="宋体"/>
          <w:color w:val="auto"/>
          <w:kern w:val="1"/>
          <w:szCs w:val="21"/>
        </w:rPr>
        <w:t>3. 诉讼期间，本合同是否继续履行，由甲方决定。甲方因诉讼支付的律师费、差旅费、交通费、鉴定费、保全担保费等费用均由乙方承担。</w:t>
      </w:r>
    </w:p>
    <w:p w14:paraId="0197D1D1">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color w:val="auto"/>
          <w:sz w:val="21"/>
          <w:szCs w:val="21"/>
          <w:lang w:eastAsia="zh-CN"/>
        </w:rPr>
      </w:pPr>
      <w:r>
        <w:rPr>
          <w:rFonts w:hint="eastAsia"/>
          <w:color w:val="auto"/>
          <w:lang w:val="en-US" w:eastAsia="zh-CN"/>
        </w:rPr>
        <w:t>4.</w:t>
      </w:r>
      <w:r>
        <w:rPr>
          <w:rFonts w:hint="eastAsia" w:ascii="宋体" w:hAnsi="宋体" w:eastAsia="宋体" w:cs="宋体"/>
          <w:color w:val="auto"/>
          <w:sz w:val="21"/>
          <w:szCs w:val="21"/>
        </w:rPr>
        <w:t>本合同项下联系方式同时作为有效的司法送达地址。邮寄送达的，以签收日或寄出后第 5 日（先到的时间为准）为送达日；传真或电子邮件送达的，以成功发送之日为送达日。任何一方变更送达地址的，应提前 3 日书面通知对方，否则由此导致的送达不能后果由该方自行承担。</w:t>
      </w:r>
    </w:p>
    <w:p w14:paraId="75402745">
      <w:pPr>
        <w:pStyle w:val="2"/>
        <w:rPr>
          <w:rFonts w:hint="eastAsia"/>
          <w:color w:val="auto"/>
        </w:rPr>
      </w:pPr>
    </w:p>
    <w:p w14:paraId="64485063">
      <w:pPr>
        <w:snapToGrid w:val="0"/>
        <w:spacing w:before="120" w:after="120" w:line="400" w:lineRule="exact"/>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第十</w:t>
      </w:r>
      <w:r>
        <w:rPr>
          <w:rFonts w:hint="eastAsia" w:ascii="宋体" w:hAnsi="宋体" w:eastAsia="宋体" w:cs="宋体"/>
          <w:b/>
          <w:color w:val="auto"/>
          <w:szCs w:val="21"/>
          <w:lang w:val="en-US" w:eastAsia="zh-CN"/>
        </w:rPr>
        <w:t>五</w:t>
      </w:r>
      <w:r>
        <w:rPr>
          <w:rFonts w:hint="eastAsia" w:ascii="宋体" w:hAnsi="宋体" w:eastAsia="宋体" w:cs="宋体"/>
          <w:b/>
          <w:color w:val="auto"/>
          <w:szCs w:val="21"/>
        </w:rPr>
        <w:t>条 合同生效及其它</w:t>
      </w:r>
    </w:p>
    <w:p w14:paraId="335572EA">
      <w:pPr>
        <w:pStyle w:val="17"/>
        <w:keepNext w:val="0"/>
        <w:keepLines w:val="0"/>
        <w:pageBreakBefore w:val="0"/>
        <w:kinsoku/>
        <w:overflowPunct/>
        <w:topLinePunct w:val="0"/>
        <w:autoSpaceDE w:val="0"/>
        <w:autoSpaceDN/>
        <w:bidi w:val="0"/>
        <w:adjustRightInd/>
        <w:spacing w:line="380" w:lineRule="exact"/>
        <w:ind w:firstLine="420" w:firstLineChars="200"/>
        <w:textAlignment w:val="auto"/>
        <w:rPr>
          <w:rFonts w:hint="eastAsia" w:ascii="宋体" w:hAnsi="宋体" w:eastAsia="宋体" w:cs="宋体"/>
          <w:b/>
          <w:color w:val="auto"/>
          <w:sz w:val="21"/>
          <w:szCs w:val="21"/>
        </w:rPr>
      </w:pPr>
      <w:r>
        <w:rPr>
          <w:rFonts w:hint="eastAsia" w:ascii="宋体" w:hAnsi="宋体" w:eastAsia="宋体" w:cs="宋体"/>
          <w:color w:val="auto"/>
          <w:sz w:val="21"/>
          <w:szCs w:val="21"/>
        </w:rPr>
        <w:t>1、本合同自双方法定代表人或委托代理人签字或盖章并加盖单位公章或合同章之日起生效。</w:t>
      </w:r>
    </w:p>
    <w:p w14:paraId="7836CB2A">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2、合同执行中涉及采购资金和采购内容修改或补充的，须</w:t>
      </w:r>
      <w:r>
        <w:rPr>
          <w:rFonts w:hint="eastAsia" w:ascii="宋体" w:hAnsi="宋体" w:eastAsia="宋体" w:cs="宋体"/>
          <w:bCs/>
          <w:color w:val="auto"/>
          <w:sz w:val="21"/>
          <w:szCs w:val="21"/>
          <w:lang w:val="en-US" w:eastAsia="zh-CN"/>
        </w:rPr>
        <w:t>签订</w:t>
      </w:r>
      <w:r>
        <w:rPr>
          <w:rFonts w:hint="eastAsia" w:ascii="宋体" w:hAnsi="宋体" w:eastAsia="宋体" w:cs="宋体"/>
          <w:bCs/>
          <w:color w:val="auto"/>
          <w:sz w:val="21"/>
          <w:szCs w:val="21"/>
        </w:rPr>
        <w:t>书面补充协议报财政部门备案，方可作为主合同不可分割的一部分。</w:t>
      </w:r>
    </w:p>
    <w:p w14:paraId="61619921">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b/>
          <w:color w:val="auto"/>
          <w:sz w:val="21"/>
          <w:szCs w:val="21"/>
        </w:rPr>
      </w:pPr>
      <w:r>
        <w:rPr>
          <w:rFonts w:hint="eastAsia" w:ascii="宋体" w:hAnsi="宋体" w:eastAsia="宋体" w:cs="宋体"/>
          <w:color w:val="auto"/>
          <w:sz w:val="21"/>
          <w:szCs w:val="21"/>
        </w:rPr>
        <w:t>3、双方的</w:t>
      </w:r>
      <w:r>
        <w:rPr>
          <w:rFonts w:hint="eastAsia" w:ascii="宋体" w:hAnsi="宋体" w:eastAsia="宋体" w:cs="宋体"/>
          <w:color w:val="auto"/>
          <w:sz w:val="21"/>
          <w:szCs w:val="21"/>
          <w:lang w:val="en-US" w:eastAsia="zh-CN"/>
        </w:rPr>
        <w:t>权利</w:t>
      </w:r>
      <w:r>
        <w:rPr>
          <w:rFonts w:hint="eastAsia" w:ascii="宋体" w:hAnsi="宋体" w:eastAsia="宋体" w:cs="宋体"/>
          <w:color w:val="auto"/>
          <w:sz w:val="21"/>
          <w:szCs w:val="21"/>
        </w:rPr>
        <w:t>和义务以本合同打印内容为准，除签名和日期以外，任何以手写、口头或者其他形式对本合同进行的修改或者补充均视为无效，双方经友好协商共同签订的补充协议除外。</w:t>
      </w:r>
    </w:p>
    <w:p w14:paraId="219379E6">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4、本合同未尽事宜，遵照《中华人民共和国民法典》有关条文执行。</w:t>
      </w:r>
    </w:p>
    <w:p w14:paraId="5871C462">
      <w:pPr>
        <w:snapToGrid w:val="0"/>
        <w:spacing w:before="120" w:after="120" w:line="400" w:lineRule="exact"/>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第十</w:t>
      </w:r>
      <w:r>
        <w:rPr>
          <w:rFonts w:hint="eastAsia" w:ascii="宋体" w:hAnsi="宋体" w:eastAsia="宋体" w:cs="宋体"/>
          <w:b/>
          <w:color w:val="auto"/>
          <w:szCs w:val="21"/>
          <w:lang w:val="en-US" w:eastAsia="zh-CN"/>
        </w:rPr>
        <w:t>六</w:t>
      </w:r>
      <w:r>
        <w:rPr>
          <w:rFonts w:hint="eastAsia" w:ascii="宋体" w:hAnsi="宋体" w:eastAsia="宋体" w:cs="宋体"/>
          <w:b/>
          <w:color w:val="auto"/>
          <w:szCs w:val="21"/>
        </w:rPr>
        <w:t>条 合同的变更、终止与转让</w:t>
      </w:r>
    </w:p>
    <w:p w14:paraId="58A6536C">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1、除《中华人民共和国政府采购法》第五十条规定的情形外，本合同一经签订，甲乙双方不得擅自变更、中止或终止。</w:t>
      </w:r>
    </w:p>
    <w:p w14:paraId="6A83D095">
      <w:pPr>
        <w:keepNext w:val="0"/>
        <w:keepLines w:val="0"/>
        <w:pageBreakBefore w:val="0"/>
        <w:kinsoku/>
        <w:overflowPunct/>
        <w:topLinePunct w:val="0"/>
        <w:autoSpaceDE w:val="0"/>
        <w:autoSpaceDN/>
        <w:bidi w:val="0"/>
        <w:adjustRightInd/>
        <w:snapToGrid w:val="0"/>
        <w:spacing w:line="38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2、乙方不得擅自转让（无进口资格的供应商委托进口货物除外）其应履行的合同义务。</w:t>
      </w:r>
    </w:p>
    <w:p w14:paraId="3AB04ADA">
      <w:pPr>
        <w:spacing w:after="96" w:afterLines="40" w:line="400" w:lineRule="exact"/>
        <w:ind w:firstLine="422" w:firstLineChars="200"/>
        <w:rPr>
          <w:rFonts w:hint="eastAsia" w:ascii="宋体" w:hAnsi="宋体" w:eastAsia="宋体" w:cs="宋体"/>
          <w:b/>
          <w:color w:val="auto"/>
          <w:kern w:val="1"/>
          <w:szCs w:val="21"/>
        </w:rPr>
      </w:pPr>
      <w:r>
        <w:rPr>
          <w:rFonts w:hint="eastAsia" w:ascii="宋体" w:hAnsi="宋体" w:eastAsia="宋体" w:cs="宋体"/>
          <w:b/>
          <w:color w:val="auto"/>
          <w:kern w:val="1"/>
          <w:szCs w:val="21"/>
        </w:rPr>
        <w:t>第</w:t>
      </w:r>
      <w:r>
        <w:rPr>
          <w:rFonts w:hint="eastAsia" w:ascii="宋体" w:hAnsi="宋体" w:cs="宋体"/>
          <w:b/>
          <w:color w:val="auto"/>
          <w:kern w:val="1"/>
          <w:szCs w:val="21"/>
          <w:lang w:val="en-US" w:eastAsia="zh-CN"/>
        </w:rPr>
        <w:t xml:space="preserve">十七条 </w:t>
      </w:r>
      <w:r>
        <w:rPr>
          <w:rFonts w:hint="eastAsia" w:ascii="宋体" w:hAnsi="宋体" w:eastAsia="宋体" w:cs="宋体"/>
          <w:b/>
          <w:color w:val="auto"/>
          <w:kern w:val="1"/>
          <w:szCs w:val="21"/>
        </w:rPr>
        <w:t>签订本合同依据</w:t>
      </w:r>
    </w:p>
    <w:p w14:paraId="6C208A2F">
      <w:pPr>
        <w:spacing w:after="96" w:afterLines="40" w:line="400" w:lineRule="exact"/>
        <w:ind w:firstLine="420" w:firstLineChars="200"/>
        <w:rPr>
          <w:rFonts w:hint="eastAsia" w:ascii="宋体" w:hAnsi="宋体" w:eastAsia="宋体" w:cs="宋体"/>
          <w:color w:val="auto"/>
          <w:kern w:val="1"/>
          <w:szCs w:val="21"/>
        </w:rPr>
      </w:pPr>
      <w:r>
        <w:rPr>
          <w:rFonts w:hint="eastAsia" w:ascii="宋体" w:hAnsi="宋体" w:eastAsia="宋体" w:cs="宋体"/>
          <w:color w:val="auto"/>
          <w:kern w:val="1"/>
          <w:szCs w:val="21"/>
        </w:rPr>
        <w:t xml:space="preserve">1. 本合同； </w:t>
      </w:r>
    </w:p>
    <w:p w14:paraId="6D769672">
      <w:pPr>
        <w:spacing w:after="96" w:afterLines="40"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kern w:val="1"/>
          <w:szCs w:val="21"/>
        </w:rPr>
        <w:t>2. 中标（成交）通知书；</w:t>
      </w:r>
    </w:p>
    <w:p w14:paraId="7FBD7EB2">
      <w:pPr>
        <w:suppressAutoHyphens/>
        <w:spacing w:after="96" w:afterLines="40" w:line="400" w:lineRule="exact"/>
        <w:ind w:firstLine="420" w:firstLineChars="200"/>
        <w:rPr>
          <w:rFonts w:hint="eastAsia" w:ascii="宋体" w:hAnsi="宋体" w:eastAsia="宋体" w:cs="宋体"/>
          <w:color w:val="auto"/>
          <w:kern w:val="1"/>
          <w:szCs w:val="21"/>
        </w:rPr>
      </w:pPr>
      <w:r>
        <w:rPr>
          <w:rFonts w:hint="eastAsia" w:ascii="宋体" w:hAnsi="宋体" w:eastAsia="宋体" w:cs="宋体"/>
          <w:color w:val="auto"/>
          <w:kern w:val="1"/>
          <w:szCs w:val="21"/>
        </w:rPr>
        <w:t>3. 乙方提供的投标（响应）文件；</w:t>
      </w:r>
    </w:p>
    <w:p w14:paraId="3D352899">
      <w:pPr>
        <w:suppressAutoHyphens/>
        <w:spacing w:after="96" w:afterLines="40" w:line="400" w:lineRule="exact"/>
        <w:ind w:firstLine="420" w:firstLineChars="200"/>
        <w:rPr>
          <w:rFonts w:hint="eastAsia" w:ascii="宋体" w:hAnsi="宋体" w:eastAsia="宋体" w:cs="宋体"/>
          <w:color w:val="auto"/>
          <w:kern w:val="1"/>
          <w:szCs w:val="21"/>
        </w:rPr>
      </w:pPr>
      <w:r>
        <w:rPr>
          <w:rFonts w:hint="eastAsia" w:ascii="宋体" w:hAnsi="宋体" w:eastAsia="宋体" w:cs="宋体"/>
          <w:color w:val="auto"/>
          <w:kern w:val="1"/>
          <w:szCs w:val="21"/>
        </w:rPr>
        <w:t>4. 采购文件。</w:t>
      </w:r>
    </w:p>
    <w:p w14:paraId="626ED2FF">
      <w:pPr>
        <w:suppressAutoHyphens/>
        <w:spacing w:after="96" w:afterLines="40" w:line="400" w:lineRule="exact"/>
        <w:ind w:firstLine="420" w:firstLineChars="200"/>
        <w:rPr>
          <w:rFonts w:hint="eastAsia" w:ascii="宋体" w:hAnsi="宋体" w:eastAsia="宋体" w:cs="宋体"/>
          <w:color w:val="auto"/>
          <w:kern w:val="1"/>
          <w:szCs w:val="21"/>
        </w:rPr>
      </w:pPr>
      <w:r>
        <w:rPr>
          <w:rFonts w:hint="eastAsia" w:ascii="宋体" w:hAnsi="宋体" w:eastAsia="宋体" w:cs="宋体"/>
          <w:color w:val="auto"/>
          <w:kern w:val="1"/>
          <w:szCs w:val="21"/>
          <w:lang w:val="en-US" w:eastAsia="zh-CN"/>
        </w:rPr>
        <w:t>5.</w:t>
      </w:r>
      <w:r>
        <w:rPr>
          <w:rFonts w:hint="eastAsia" w:ascii="宋体" w:hAnsi="宋体" w:eastAsia="宋体" w:cs="宋体"/>
          <w:color w:val="auto"/>
          <w:kern w:val="1"/>
          <w:szCs w:val="21"/>
        </w:rPr>
        <w:t>廉洁协议</w:t>
      </w:r>
      <w:r>
        <w:rPr>
          <w:rFonts w:hint="eastAsia" w:ascii="宋体" w:hAnsi="宋体" w:eastAsia="宋体" w:cs="宋体"/>
          <w:color w:val="auto"/>
          <w:kern w:val="1"/>
          <w:szCs w:val="21"/>
          <w:lang w:val="en-US" w:eastAsia="zh-CN"/>
        </w:rPr>
        <w:t>书</w:t>
      </w:r>
      <w:r>
        <w:rPr>
          <w:rFonts w:hint="eastAsia" w:ascii="宋体" w:hAnsi="宋体" w:eastAsia="宋体" w:cs="宋体"/>
          <w:color w:val="auto"/>
          <w:kern w:val="1"/>
          <w:szCs w:val="21"/>
        </w:rPr>
        <w:t>。</w:t>
      </w:r>
    </w:p>
    <w:p w14:paraId="435A3E6B">
      <w:pPr>
        <w:snapToGrid w:val="0"/>
        <w:spacing w:line="400" w:lineRule="exact"/>
        <w:ind w:firstLine="422" w:firstLineChars="200"/>
        <w:rPr>
          <w:rFonts w:hint="eastAsia" w:ascii="宋体" w:hAnsi="宋体" w:eastAsia="宋体" w:cs="宋体"/>
          <w:color w:val="auto"/>
          <w:kern w:val="1"/>
          <w:szCs w:val="21"/>
        </w:rPr>
      </w:pPr>
      <w:r>
        <w:rPr>
          <w:rFonts w:hint="eastAsia" w:ascii="宋体" w:hAnsi="宋体" w:eastAsia="宋体" w:cs="宋体"/>
          <w:b/>
          <w:color w:val="auto"/>
          <w:szCs w:val="21"/>
        </w:rPr>
        <w:t>第</w:t>
      </w:r>
      <w:r>
        <w:rPr>
          <w:rFonts w:hint="eastAsia" w:ascii="宋体" w:hAnsi="宋体" w:cs="宋体"/>
          <w:b/>
          <w:color w:val="auto"/>
          <w:szCs w:val="21"/>
          <w:lang w:val="en-US" w:eastAsia="zh-CN"/>
        </w:rPr>
        <w:t>十八</w:t>
      </w:r>
      <w:r>
        <w:rPr>
          <w:rFonts w:hint="eastAsia" w:ascii="宋体" w:hAnsi="宋体" w:eastAsia="宋体" w:cs="宋体"/>
          <w:b/>
          <w:color w:val="auto"/>
          <w:szCs w:val="21"/>
        </w:rPr>
        <w:t xml:space="preserve">条 </w:t>
      </w:r>
      <w:r>
        <w:rPr>
          <w:rFonts w:hint="eastAsia" w:ascii="宋体" w:hAnsi="宋体" w:eastAsia="宋体" w:cs="宋体"/>
          <w:color w:val="auto"/>
          <w:kern w:val="1"/>
          <w:szCs w:val="21"/>
        </w:rPr>
        <w:t>本合同一式</w:t>
      </w:r>
      <w:r>
        <w:rPr>
          <w:rFonts w:hint="eastAsia" w:ascii="宋体" w:hAnsi="宋体" w:cs="宋体"/>
          <w:color w:val="auto"/>
          <w:kern w:val="1"/>
          <w:szCs w:val="21"/>
          <w:lang w:val="en-US" w:eastAsia="zh-CN"/>
        </w:rPr>
        <w:t>四</w:t>
      </w:r>
      <w:r>
        <w:rPr>
          <w:rFonts w:hint="eastAsia" w:ascii="宋体" w:hAnsi="宋体" w:eastAsia="宋体" w:cs="宋体"/>
          <w:color w:val="auto"/>
          <w:kern w:val="1"/>
          <w:szCs w:val="21"/>
        </w:rPr>
        <w:t>份，具有同等法律效力。甲方</w:t>
      </w:r>
      <w:r>
        <w:rPr>
          <w:rFonts w:hint="eastAsia" w:ascii="宋体" w:hAnsi="宋体" w:cs="宋体"/>
          <w:color w:val="auto"/>
          <w:kern w:val="1"/>
          <w:szCs w:val="21"/>
          <w:lang w:val="en-US" w:eastAsia="zh-CN"/>
        </w:rPr>
        <w:t>两</w:t>
      </w:r>
      <w:r>
        <w:rPr>
          <w:rFonts w:hint="eastAsia" w:ascii="宋体" w:hAnsi="宋体" w:eastAsia="宋体" w:cs="宋体"/>
          <w:color w:val="auto"/>
          <w:kern w:val="1"/>
          <w:szCs w:val="21"/>
        </w:rPr>
        <w:t>份，乙方</w:t>
      </w:r>
      <w:r>
        <w:rPr>
          <w:rFonts w:hint="eastAsia" w:ascii="宋体" w:hAnsi="宋体" w:eastAsia="宋体" w:cs="宋体"/>
          <w:color w:val="auto"/>
          <w:kern w:val="1"/>
          <w:szCs w:val="21"/>
          <w:lang w:val="en-US" w:eastAsia="zh-CN"/>
        </w:rPr>
        <w:t>一</w:t>
      </w:r>
      <w:r>
        <w:rPr>
          <w:rFonts w:hint="eastAsia" w:ascii="宋体" w:hAnsi="宋体" w:eastAsia="宋体" w:cs="宋体"/>
          <w:color w:val="auto"/>
          <w:kern w:val="1"/>
          <w:szCs w:val="21"/>
        </w:rPr>
        <w:t>份</w:t>
      </w:r>
      <w:r>
        <w:rPr>
          <w:rFonts w:hint="eastAsia" w:ascii="宋体" w:hAnsi="宋体" w:eastAsia="宋体" w:cs="宋体"/>
          <w:color w:val="auto"/>
          <w:kern w:val="1"/>
          <w:szCs w:val="21"/>
          <w:lang w:eastAsia="zh-CN"/>
        </w:rPr>
        <w:t>，</w:t>
      </w:r>
      <w:r>
        <w:rPr>
          <w:rFonts w:hint="eastAsia" w:ascii="宋体" w:hAnsi="宋体" w:eastAsia="宋体" w:cs="宋体"/>
          <w:color w:val="auto"/>
          <w:kern w:val="1"/>
          <w:szCs w:val="21"/>
          <w:lang w:val="en-US" w:eastAsia="zh-CN"/>
        </w:rPr>
        <w:t>招标代理机构一份</w:t>
      </w:r>
      <w:r>
        <w:rPr>
          <w:rFonts w:hint="eastAsia" w:ascii="宋体" w:hAnsi="宋体" w:eastAsia="宋体" w:cs="宋体"/>
          <w:color w:val="auto"/>
          <w:kern w:val="1"/>
          <w:szCs w:val="21"/>
        </w:rPr>
        <w:t>。</w:t>
      </w:r>
    </w:p>
    <w:p w14:paraId="7B146283">
      <w:pPr>
        <w:snapToGrid w:val="0"/>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（以下为签章页，无正文）</w:t>
      </w:r>
    </w:p>
    <w:tbl>
      <w:tblPr>
        <w:tblStyle w:val="48"/>
        <w:tblW w:w="51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79"/>
        <w:gridCol w:w="5284"/>
      </w:tblGrid>
      <w:tr w14:paraId="2FED1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5" w:hRule="atLeast"/>
          <w:jc w:val="center"/>
        </w:trPr>
        <w:tc>
          <w:tcPr>
            <w:tcW w:w="2425" w:type="pct"/>
            <w:tcBorders>
              <w:top w:val="single" w:color="auto" w:sz="4" w:space="0"/>
              <w:left w:val="single" w:color="auto" w:sz="4" w:space="0"/>
              <w:bottom w:val="single" w:color="auto" w:sz="4" w:space="0"/>
              <w:right w:val="single" w:color="auto" w:sz="4" w:space="0"/>
            </w:tcBorders>
            <w:noWrap w:val="0"/>
            <w:vAlign w:val="top"/>
          </w:tcPr>
          <w:p w14:paraId="3D95B724">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甲方（章） 广西医科大学附属武鸣医院          </w:t>
            </w:r>
          </w:p>
          <w:p w14:paraId="49361F93">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p>
          <w:p w14:paraId="1BB873F0">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p>
          <w:p w14:paraId="638556F3">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p>
          <w:p w14:paraId="63462508">
            <w:pPr>
              <w:keepNext w:val="0"/>
              <w:keepLines w:val="0"/>
              <w:pageBreakBefore w:val="0"/>
              <w:kinsoku/>
              <w:overflowPunct/>
              <w:topLinePunct w:val="0"/>
              <w:autoSpaceDE w:val="0"/>
              <w:autoSpaceDN/>
              <w:bidi w:val="0"/>
              <w:adjustRightInd/>
              <w:snapToGrid w:val="0"/>
              <w:spacing w:line="380" w:lineRule="exact"/>
              <w:ind w:firstLine="945" w:firstLineChars="45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年   月   日</w:t>
            </w:r>
          </w:p>
        </w:tc>
        <w:tc>
          <w:tcPr>
            <w:tcW w:w="2574" w:type="pct"/>
            <w:tcBorders>
              <w:top w:val="single" w:color="auto" w:sz="4" w:space="0"/>
              <w:left w:val="single" w:color="auto" w:sz="4" w:space="0"/>
              <w:bottom w:val="single" w:color="auto" w:sz="4" w:space="0"/>
              <w:right w:val="single" w:color="auto" w:sz="4" w:space="0"/>
            </w:tcBorders>
            <w:noWrap w:val="0"/>
            <w:vAlign w:val="top"/>
          </w:tcPr>
          <w:p w14:paraId="1393D5EA">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乙方（章）           </w:t>
            </w:r>
          </w:p>
          <w:p w14:paraId="25AAFCFD">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p>
          <w:p w14:paraId="37D2476C">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p>
          <w:p w14:paraId="7FCA3813">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p>
          <w:p w14:paraId="584A566B">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年   月   日</w:t>
            </w:r>
          </w:p>
        </w:tc>
      </w:tr>
      <w:tr w14:paraId="523C4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2" w:hRule="atLeast"/>
          <w:jc w:val="center"/>
        </w:trPr>
        <w:tc>
          <w:tcPr>
            <w:tcW w:w="2425" w:type="pct"/>
            <w:tcBorders>
              <w:top w:val="single" w:color="auto" w:sz="4" w:space="0"/>
              <w:left w:val="single" w:color="auto" w:sz="4" w:space="0"/>
              <w:bottom w:val="single" w:color="auto" w:sz="4" w:space="0"/>
              <w:right w:val="single" w:color="auto" w:sz="4" w:space="0"/>
            </w:tcBorders>
            <w:noWrap w:val="0"/>
            <w:vAlign w:val="top"/>
          </w:tcPr>
          <w:p w14:paraId="2483B2FE">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单位地址：广西南宁市武鸣区永宁路26号</w:t>
            </w:r>
          </w:p>
        </w:tc>
        <w:tc>
          <w:tcPr>
            <w:tcW w:w="2574" w:type="pct"/>
            <w:tcBorders>
              <w:top w:val="single" w:color="auto" w:sz="4" w:space="0"/>
              <w:left w:val="single" w:color="auto" w:sz="4" w:space="0"/>
              <w:bottom w:val="single" w:color="auto" w:sz="4" w:space="0"/>
              <w:right w:val="single" w:color="auto" w:sz="4" w:space="0"/>
            </w:tcBorders>
            <w:noWrap w:val="0"/>
            <w:vAlign w:val="top"/>
          </w:tcPr>
          <w:p w14:paraId="7FEFB9C1">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单位地址：</w:t>
            </w:r>
          </w:p>
        </w:tc>
      </w:tr>
      <w:tr w14:paraId="0571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1" w:hRule="atLeast"/>
          <w:jc w:val="center"/>
        </w:trPr>
        <w:tc>
          <w:tcPr>
            <w:tcW w:w="2425" w:type="pct"/>
            <w:tcBorders>
              <w:top w:val="single" w:color="auto" w:sz="4" w:space="0"/>
              <w:left w:val="single" w:color="auto" w:sz="4" w:space="0"/>
              <w:bottom w:val="single" w:color="auto" w:sz="4" w:space="0"/>
              <w:right w:val="single" w:color="auto" w:sz="4" w:space="0"/>
            </w:tcBorders>
            <w:noWrap w:val="0"/>
            <w:vAlign w:val="top"/>
          </w:tcPr>
          <w:p w14:paraId="262D193E">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法定代表人（签字或盖章）：</w:t>
            </w:r>
          </w:p>
        </w:tc>
        <w:tc>
          <w:tcPr>
            <w:tcW w:w="2574" w:type="pct"/>
            <w:tcBorders>
              <w:top w:val="single" w:color="auto" w:sz="4" w:space="0"/>
              <w:left w:val="single" w:color="auto" w:sz="4" w:space="0"/>
              <w:bottom w:val="single" w:color="auto" w:sz="4" w:space="0"/>
              <w:right w:val="single" w:color="auto" w:sz="4" w:space="0"/>
            </w:tcBorders>
            <w:noWrap w:val="0"/>
            <w:vAlign w:val="top"/>
          </w:tcPr>
          <w:p w14:paraId="7CF0F174">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法定代表人（签字或盖章）：</w:t>
            </w:r>
          </w:p>
        </w:tc>
      </w:tr>
      <w:tr w14:paraId="7C4F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3" w:hRule="atLeast"/>
          <w:jc w:val="center"/>
        </w:trPr>
        <w:tc>
          <w:tcPr>
            <w:tcW w:w="2425" w:type="pct"/>
            <w:tcBorders>
              <w:top w:val="single" w:color="auto" w:sz="4" w:space="0"/>
              <w:left w:val="single" w:color="auto" w:sz="4" w:space="0"/>
              <w:bottom w:val="single" w:color="auto" w:sz="4" w:space="0"/>
              <w:right w:val="single" w:color="auto" w:sz="4" w:space="0"/>
            </w:tcBorders>
            <w:noWrap w:val="0"/>
            <w:vAlign w:val="top"/>
          </w:tcPr>
          <w:p w14:paraId="313EF708">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或</w:t>
            </w:r>
            <w:r>
              <w:rPr>
                <w:rFonts w:hint="eastAsia" w:ascii="宋体" w:hAnsi="宋体" w:cs="宋体"/>
                <w:color w:val="auto"/>
                <w:sz w:val="21"/>
                <w:szCs w:val="21"/>
                <w:lang w:eastAsia="zh-CN"/>
              </w:rPr>
              <w:t>）</w:t>
            </w:r>
            <w:r>
              <w:rPr>
                <w:rFonts w:hint="eastAsia" w:ascii="宋体" w:hAnsi="宋体" w:eastAsia="宋体" w:cs="宋体"/>
                <w:color w:val="auto"/>
                <w:sz w:val="21"/>
                <w:szCs w:val="21"/>
              </w:rPr>
              <w:t>委托代理人（签字或盖章）：</w:t>
            </w:r>
          </w:p>
        </w:tc>
        <w:tc>
          <w:tcPr>
            <w:tcW w:w="2574" w:type="pct"/>
            <w:tcBorders>
              <w:top w:val="single" w:color="auto" w:sz="4" w:space="0"/>
              <w:left w:val="single" w:color="auto" w:sz="4" w:space="0"/>
              <w:bottom w:val="single" w:color="auto" w:sz="4" w:space="0"/>
              <w:right w:val="single" w:color="auto" w:sz="4" w:space="0"/>
            </w:tcBorders>
            <w:noWrap w:val="0"/>
            <w:vAlign w:val="top"/>
          </w:tcPr>
          <w:p w14:paraId="22B05886">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或</w:t>
            </w:r>
            <w:r>
              <w:rPr>
                <w:rFonts w:hint="eastAsia" w:ascii="宋体" w:hAnsi="宋体" w:cs="宋体"/>
                <w:color w:val="auto"/>
                <w:sz w:val="21"/>
                <w:szCs w:val="21"/>
                <w:lang w:eastAsia="zh-CN"/>
              </w:rPr>
              <w:t>）</w:t>
            </w:r>
            <w:r>
              <w:rPr>
                <w:rFonts w:hint="eastAsia" w:ascii="宋体" w:hAnsi="宋体" w:eastAsia="宋体" w:cs="宋体"/>
                <w:color w:val="auto"/>
                <w:sz w:val="21"/>
                <w:szCs w:val="21"/>
              </w:rPr>
              <w:t>委托代理人（签字或盖章）：</w:t>
            </w:r>
          </w:p>
        </w:tc>
      </w:tr>
      <w:tr w14:paraId="3605C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2425" w:type="pct"/>
            <w:tcBorders>
              <w:top w:val="single" w:color="auto" w:sz="4" w:space="0"/>
              <w:left w:val="single" w:color="auto" w:sz="4" w:space="0"/>
              <w:bottom w:val="single" w:color="auto" w:sz="4" w:space="0"/>
              <w:right w:val="single" w:color="auto" w:sz="4" w:space="0"/>
            </w:tcBorders>
            <w:noWrap w:val="0"/>
            <w:vAlign w:val="top"/>
          </w:tcPr>
          <w:p w14:paraId="33DE077F">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电话：0771-6222411</w:t>
            </w:r>
          </w:p>
        </w:tc>
        <w:tc>
          <w:tcPr>
            <w:tcW w:w="2574" w:type="pct"/>
            <w:tcBorders>
              <w:top w:val="single" w:color="auto" w:sz="4" w:space="0"/>
              <w:left w:val="single" w:color="auto" w:sz="4" w:space="0"/>
              <w:bottom w:val="single" w:color="auto" w:sz="4" w:space="0"/>
              <w:right w:val="single" w:color="auto" w:sz="4" w:space="0"/>
            </w:tcBorders>
            <w:noWrap w:val="0"/>
            <w:vAlign w:val="top"/>
          </w:tcPr>
          <w:p w14:paraId="01117A31">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r>
      <w:tr w14:paraId="6A41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2425" w:type="pct"/>
            <w:tcBorders>
              <w:top w:val="single" w:color="auto" w:sz="4" w:space="0"/>
              <w:left w:val="single" w:color="auto" w:sz="4" w:space="0"/>
              <w:bottom w:val="single" w:color="auto" w:sz="4" w:space="0"/>
              <w:right w:val="single" w:color="auto" w:sz="4" w:space="0"/>
            </w:tcBorders>
            <w:noWrap w:val="0"/>
            <w:vAlign w:val="top"/>
          </w:tcPr>
          <w:p w14:paraId="41944BD1">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电子邮箱：gxmuwmfy@163.com</w:t>
            </w:r>
          </w:p>
        </w:tc>
        <w:tc>
          <w:tcPr>
            <w:tcW w:w="2574" w:type="pct"/>
            <w:tcBorders>
              <w:top w:val="single" w:color="auto" w:sz="4" w:space="0"/>
              <w:left w:val="single" w:color="auto" w:sz="4" w:space="0"/>
              <w:bottom w:val="single" w:color="auto" w:sz="4" w:space="0"/>
              <w:right w:val="single" w:color="auto" w:sz="4" w:space="0"/>
            </w:tcBorders>
            <w:noWrap w:val="0"/>
            <w:vAlign w:val="top"/>
          </w:tcPr>
          <w:p w14:paraId="5DDC0B08">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电子邮箱：</w:t>
            </w:r>
          </w:p>
        </w:tc>
      </w:tr>
      <w:tr w14:paraId="5BE0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jc w:val="center"/>
        </w:trPr>
        <w:tc>
          <w:tcPr>
            <w:tcW w:w="2425" w:type="pct"/>
            <w:tcBorders>
              <w:top w:val="single" w:color="auto" w:sz="4" w:space="0"/>
              <w:left w:val="single" w:color="auto" w:sz="4" w:space="0"/>
              <w:bottom w:val="single" w:color="auto" w:sz="4" w:space="0"/>
              <w:right w:val="single" w:color="auto" w:sz="4" w:space="0"/>
            </w:tcBorders>
            <w:noWrap w:val="0"/>
            <w:vAlign w:val="top"/>
          </w:tcPr>
          <w:p w14:paraId="09E20FAB">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开户银行：中国工商银行股份有限公司南宁市武鸣支行</w:t>
            </w:r>
          </w:p>
        </w:tc>
        <w:tc>
          <w:tcPr>
            <w:tcW w:w="2574" w:type="pct"/>
            <w:tcBorders>
              <w:top w:val="single" w:color="auto" w:sz="4" w:space="0"/>
              <w:left w:val="single" w:color="auto" w:sz="4" w:space="0"/>
              <w:bottom w:val="single" w:color="auto" w:sz="4" w:space="0"/>
              <w:right w:val="single" w:color="auto" w:sz="4" w:space="0"/>
            </w:tcBorders>
            <w:noWrap w:val="0"/>
            <w:vAlign w:val="top"/>
          </w:tcPr>
          <w:p w14:paraId="438664B3">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开户银行：</w:t>
            </w:r>
          </w:p>
        </w:tc>
      </w:tr>
      <w:tr w14:paraId="69191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2425" w:type="pct"/>
            <w:tcBorders>
              <w:top w:val="single" w:color="auto" w:sz="4" w:space="0"/>
              <w:left w:val="single" w:color="auto" w:sz="4" w:space="0"/>
              <w:bottom w:val="single" w:color="auto" w:sz="4" w:space="0"/>
              <w:right w:val="single" w:color="auto" w:sz="4" w:space="0"/>
            </w:tcBorders>
            <w:noWrap w:val="0"/>
            <w:vAlign w:val="top"/>
          </w:tcPr>
          <w:p w14:paraId="08B7A05F">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账号：2102117009300236704</w:t>
            </w:r>
          </w:p>
        </w:tc>
        <w:tc>
          <w:tcPr>
            <w:tcW w:w="2574" w:type="pct"/>
            <w:tcBorders>
              <w:top w:val="single" w:color="auto" w:sz="4" w:space="0"/>
              <w:left w:val="single" w:color="auto" w:sz="4" w:space="0"/>
              <w:bottom w:val="single" w:color="auto" w:sz="4" w:space="0"/>
              <w:right w:val="single" w:color="auto" w:sz="4" w:space="0"/>
            </w:tcBorders>
            <w:noWrap w:val="0"/>
            <w:vAlign w:val="top"/>
          </w:tcPr>
          <w:p w14:paraId="2507458F">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账号：</w:t>
            </w:r>
          </w:p>
        </w:tc>
      </w:tr>
      <w:tr w14:paraId="6F0D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jc w:val="center"/>
        </w:trPr>
        <w:tc>
          <w:tcPr>
            <w:tcW w:w="2425" w:type="pct"/>
            <w:tcBorders>
              <w:top w:val="single" w:color="auto" w:sz="4" w:space="0"/>
              <w:left w:val="single" w:color="auto" w:sz="4" w:space="0"/>
              <w:bottom w:val="single" w:color="auto" w:sz="4" w:space="0"/>
              <w:right w:val="single" w:color="auto" w:sz="4" w:space="0"/>
            </w:tcBorders>
            <w:noWrap w:val="0"/>
            <w:vAlign w:val="top"/>
          </w:tcPr>
          <w:p w14:paraId="1FA8C2E8">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纳税人识别号或统一社会信用代码：1245011049858978X4</w:t>
            </w:r>
          </w:p>
        </w:tc>
        <w:tc>
          <w:tcPr>
            <w:tcW w:w="2574" w:type="pct"/>
            <w:tcBorders>
              <w:top w:val="single" w:color="auto" w:sz="4" w:space="0"/>
              <w:left w:val="single" w:color="auto" w:sz="4" w:space="0"/>
              <w:bottom w:val="single" w:color="auto" w:sz="4" w:space="0"/>
              <w:right w:val="single" w:color="auto" w:sz="4" w:space="0"/>
            </w:tcBorders>
            <w:noWrap w:val="0"/>
            <w:vAlign w:val="top"/>
          </w:tcPr>
          <w:p w14:paraId="3ADD4933">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纳税人识别号或统一社会信用代码：</w:t>
            </w:r>
          </w:p>
        </w:tc>
      </w:tr>
      <w:tr w14:paraId="69D8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2425" w:type="pct"/>
            <w:tcBorders>
              <w:top w:val="single" w:color="auto" w:sz="4" w:space="0"/>
              <w:left w:val="single" w:color="auto" w:sz="4" w:space="0"/>
              <w:bottom w:val="single" w:color="auto" w:sz="4" w:space="0"/>
              <w:right w:val="single" w:color="auto" w:sz="4" w:space="0"/>
            </w:tcBorders>
            <w:noWrap w:val="0"/>
            <w:vAlign w:val="top"/>
          </w:tcPr>
          <w:p w14:paraId="6233FE70">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邮政编码：530199</w:t>
            </w:r>
          </w:p>
        </w:tc>
        <w:tc>
          <w:tcPr>
            <w:tcW w:w="2574" w:type="pct"/>
            <w:tcBorders>
              <w:top w:val="single" w:color="auto" w:sz="4" w:space="0"/>
              <w:left w:val="single" w:color="auto" w:sz="4" w:space="0"/>
              <w:bottom w:val="single" w:color="auto" w:sz="4" w:space="0"/>
              <w:right w:val="single" w:color="auto" w:sz="4" w:space="0"/>
            </w:tcBorders>
            <w:noWrap w:val="0"/>
            <w:vAlign w:val="top"/>
          </w:tcPr>
          <w:p w14:paraId="61CE5089">
            <w:pPr>
              <w:keepNext w:val="0"/>
              <w:keepLines w:val="0"/>
              <w:pageBreakBefore w:val="0"/>
              <w:kinsoku/>
              <w:overflowPunct/>
              <w:topLinePunct w:val="0"/>
              <w:autoSpaceDE w:val="0"/>
              <w:autoSpaceDN/>
              <w:bidi w:val="0"/>
              <w:adjustRightInd/>
              <w:snapToGrid w:val="0"/>
              <w:spacing w:line="38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邮政编码：</w:t>
            </w:r>
          </w:p>
        </w:tc>
      </w:tr>
    </w:tbl>
    <w:p w14:paraId="59A45B4C">
      <w:pPr>
        <w:rPr>
          <w:rFonts w:ascii="Times New Roman" w:hAnsi="Times New Roman" w:eastAsia="宋体" w:cs="Times New Roman"/>
          <w:color w:val="auto"/>
        </w:rPr>
      </w:pPr>
    </w:p>
    <w:p w14:paraId="0F4F77A9">
      <w:pPr>
        <w:shd w:val="clear"/>
        <w:snapToGrid w:val="0"/>
        <w:jc w:val="both"/>
        <w:rPr>
          <w:rFonts w:hint="eastAsia" w:ascii="宋体" w:hAnsi="宋体"/>
          <w:bCs/>
          <w:color w:val="auto"/>
          <w:sz w:val="32"/>
          <w:szCs w:val="32"/>
          <w:highlight w:val="none"/>
        </w:rPr>
      </w:pPr>
    </w:p>
    <w:p w14:paraId="249CA2BD">
      <w:pPr>
        <w:pStyle w:val="47"/>
        <w:ind w:left="0" w:leftChars="0" w:firstLine="0" w:firstLineChars="0"/>
        <w:rPr>
          <w:rFonts w:hint="eastAsia" w:ascii="宋体" w:hAnsi="宋体"/>
          <w:b/>
          <w:color w:val="auto"/>
          <w:sz w:val="44"/>
          <w:szCs w:val="44"/>
          <w:highlight w:val="none"/>
        </w:rPr>
      </w:pPr>
    </w:p>
    <w:p w14:paraId="123E02B2">
      <w:pPr>
        <w:pStyle w:val="47"/>
        <w:rPr>
          <w:rFonts w:hint="eastAsia" w:ascii="宋体" w:hAnsi="宋体"/>
          <w:b/>
          <w:color w:val="auto"/>
          <w:sz w:val="44"/>
          <w:szCs w:val="44"/>
          <w:highlight w:val="none"/>
        </w:rPr>
      </w:pPr>
    </w:p>
    <w:p w14:paraId="0D418168">
      <w:pPr>
        <w:shd w:val="clear" w:color="auto" w:fill="auto"/>
        <w:jc w:val="center"/>
        <w:rPr>
          <w:rFonts w:ascii="宋体" w:hAnsi="宋体"/>
          <w:b/>
          <w:color w:val="auto"/>
          <w:sz w:val="44"/>
          <w:szCs w:val="44"/>
          <w:highlight w:val="none"/>
        </w:rPr>
      </w:pPr>
      <w:r>
        <w:rPr>
          <w:rFonts w:hint="eastAsia" w:ascii="宋体" w:hAnsi="宋体"/>
          <w:b/>
          <w:color w:val="auto"/>
          <w:sz w:val="44"/>
          <w:szCs w:val="44"/>
          <w:highlight w:val="none"/>
        </w:rPr>
        <w:t>廉洁协议书</w:t>
      </w:r>
    </w:p>
    <w:p w14:paraId="7AFE5D49">
      <w:pPr>
        <w:shd w:val="clear" w:color="auto" w:fill="auto"/>
        <w:rPr>
          <w:rFonts w:ascii="宋体" w:hAnsi="宋体"/>
          <w:color w:val="auto"/>
          <w:sz w:val="28"/>
          <w:szCs w:val="28"/>
          <w:highlight w:val="none"/>
        </w:rPr>
      </w:pPr>
    </w:p>
    <w:p w14:paraId="578A8D95">
      <w:pPr>
        <w:shd w:val="clear" w:color="auto" w:fil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甲方：广西医科大学附属武鸣医院</w:t>
      </w:r>
    </w:p>
    <w:p w14:paraId="671BDB48">
      <w:pPr>
        <w:shd w:val="clear" w:color="auto" w:fill="auto"/>
        <w:rPr>
          <w:rFonts w:ascii="宋体" w:hAnsi="宋体"/>
          <w:color w:val="auto"/>
          <w:sz w:val="24"/>
          <w:highlight w:val="none"/>
        </w:rPr>
      </w:pPr>
      <w:r>
        <w:rPr>
          <w:rFonts w:hint="eastAsia" w:ascii="宋体" w:hAnsi="宋体" w:eastAsia="宋体" w:cs="Times New Roman"/>
          <w:color w:val="auto"/>
          <w:sz w:val="21"/>
          <w:szCs w:val="21"/>
          <w:highlight w:val="none"/>
        </w:rPr>
        <w:t>乙方：</w:t>
      </w:r>
      <w:r>
        <w:rPr>
          <w:rFonts w:hint="eastAsia" w:ascii="宋体" w:hAnsi="宋体"/>
          <w:b w:val="0"/>
          <w:bCs/>
          <w:color w:val="auto"/>
          <w:sz w:val="21"/>
          <w:szCs w:val="21"/>
          <w:highlight w:val="none"/>
        </w:rPr>
        <w:t xml:space="preserve"> </w:t>
      </w:r>
      <w:r>
        <w:rPr>
          <w:rFonts w:hint="eastAsia" w:ascii="宋体" w:hAnsi="宋体"/>
          <w:b w:val="0"/>
          <w:bCs/>
          <w:color w:val="auto"/>
          <w:sz w:val="28"/>
          <w:szCs w:val="28"/>
          <w:highlight w:val="none"/>
        </w:rPr>
        <w:t xml:space="preserve">  </w:t>
      </w:r>
      <w:r>
        <w:rPr>
          <w:rFonts w:hint="eastAsia" w:ascii="宋体" w:hAnsi="宋体"/>
          <w:b/>
          <w:color w:val="auto"/>
          <w:sz w:val="28"/>
          <w:szCs w:val="28"/>
          <w:highlight w:val="none"/>
        </w:rPr>
        <w:t xml:space="preserve"> </w:t>
      </w:r>
    </w:p>
    <w:p w14:paraId="19C9895E">
      <w:pPr>
        <w:pStyle w:val="19"/>
        <w:shd w:val="clear" w:color="auto" w:fill="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为规范医院</w:t>
      </w:r>
      <w:r>
        <w:rPr>
          <w:rFonts w:hint="eastAsia" w:ascii="宋体" w:hAnsi="宋体" w:cs="Times New Roman"/>
          <w:color w:val="auto"/>
          <w:kern w:val="2"/>
          <w:sz w:val="21"/>
          <w:szCs w:val="21"/>
          <w:highlight w:val="none"/>
          <w:lang w:val="en-US" w:eastAsia="zh-CN" w:bidi="ar-SA"/>
        </w:rPr>
        <w:t>采购</w:t>
      </w:r>
      <w:r>
        <w:rPr>
          <w:rFonts w:hint="eastAsia" w:ascii="宋体" w:hAnsi="宋体" w:eastAsia="宋体" w:cs="Times New Roman"/>
          <w:color w:val="auto"/>
          <w:kern w:val="2"/>
          <w:sz w:val="21"/>
          <w:szCs w:val="21"/>
          <w:highlight w:val="none"/>
          <w:lang w:val="en-US" w:eastAsia="zh-CN" w:bidi="ar-SA"/>
        </w:rPr>
        <w:t>活动中的行为，防止商业贿赂和不正当竞争，确保合作公平、透明，维护患者、医院和经营企业的利益，经甲、乙双方友好协商，签订本廉洁协议书并共同遵守：</w:t>
      </w:r>
    </w:p>
    <w:p w14:paraId="2BF36743">
      <w:pPr>
        <w:shd w:val="clear" w:color="auto" w:fill="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一、甲方购进乙方服务，不得以任何方式向乙方索取回扣，或者索要、收受乙方产品发票价外的赞助，不得要求乙方代支付任何费用开支。</w:t>
      </w:r>
    </w:p>
    <w:p w14:paraId="53E06073">
      <w:pPr>
        <w:shd w:val="clear" w:color="auto" w:fill="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二、甲方工作人员不得以暗示或其他任何形式索要回扣、提成、有价证券、现金等。如甲方工作人员暗示或索要，乙方应予拒绝，并有责任如实向甲方纪检监察部门反映情况。</w:t>
      </w:r>
    </w:p>
    <w:p w14:paraId="110320B3">
      <w:pPr>
        <w:shd w:val="clear" w:color="auto" w:fill="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三、甲方工作人员不得替乙方非法统计销售价格、数量等有关信息。</w:t>
      </w:r>
    </w:p>
    <w:p w14:paraId="47202FB9">
      <w:pPr>
        <w:shd w:val="clear" w:color="auto" w:fill="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四、乙方不得暗中给予甲方回扣，不得以任何理由为甲方工作人员报销应由其个人支付的费用，不得以提成和赠送有价证券、现金、信用卡、宴请、娱乐以及提供学术活动等手段影响甲方的选择权。</w:t>
      </w:r>
    </w:p>
    <w:p w14:paraId="494B4D6B">
      <w:pPr>
        <w:shd w:val="clear" w:color="auto" w:fill="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五、乙方不得进入甲方的医药器械库房、临床科室、微机室等工作场所了解产品销售信息和库存情况。</w:t>
      </w:r>
    </w:p>
    <w:p w14:paraId="5AAA855D">
      <w:pPr>
        <w:shd w:val="clear" w:color="auto" w:fill="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六、乙方洽谈业务，必须在工作时间到甲方指定的科室联系商谈；不得私自到临床、医技等科室推销产品。乙方必须经甲方的相关部门登记和许可才能进入甲方指定的场所进行宣传、专题知识讲座、召开座谈会等甲方同意的业务活动。</w:t>
      </w:r>
    </w:p>
    <w:p w14:paraId="24AC8861">
      <w:pPr>
        <w:shd w:val="clear" w:color="auto" w:fill="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七、乙方在销售活动中，要自觉遵守国家和地方的有关法律、法规，严格执行合同条款，不得以次充好，不能降低产品质量，做到诚信经营。</w:t>
      </w:r>
    </w:p>
    <w:p w14:paraId="249F4FD1">
      <w:pPr>
        <w:shd w:val="clear" w:color="auto" w:fill="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八、甲、乙双方应共同遵守职业道德，友好合作，杜绝弄虚作假、商业欺诈，不利用非法手段谋取不正当利益，公平公正处理业务。</w:t>
      </w:r>
    </w:p>
    <w:p w14:paraId="69F1033C">
      <w:pPr>
        <w:shd w:val="clear" w:color="auto" w:fill="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九、甲方人员违反本协议，按国家有关法律法规及医院有关规定制度处理，情节严重涉嫌犯罪的，移交司法机关处理。</w:t>
      </w:r>
    </w:p>
    <w:p w14:paraId="1BCBC19C">
      <w:pPr>
        <w:shd w:val="clear" w:color="auto" w:fill="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十、乙方违反上述条款，经核实后，甲方给予警告，情节严重的，甲方有权终止购销合同，并将乙方违法违规行为报送上级有关部门，列入不良记录，两年内不得在甲方进行产品销售，造成经济损失的，乙方需承担赔偿责任，涉嫌违法的，交由司法机关处理。</w:t>
      </w:r>
    </w:p>
    <w:p w14:paraId="77215150">
      <w:pPr>
        <w:shd w:val="clear" w:color="auto" w:fill="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十一、本协议作为合同的附件，一式二份，甲、乙双方各执一份，协议自双方法定代表人或委托代理人签字或盖章并加盖单位公章或合同章之日起生效</w:t>
      </w:r>
    </w:p>
    <w:p w14:paraId="26C90199">
      <w:pPr>
        <w:shd w:val="clear" w:color="auto" w:fill="auto"/>
        <w:ind w:firstLine="420" w:firstLineChars="200"/>
        <w:rPr>
          <w:rFonts w:hint="eastAsia" w:ascii="宋体" w:hAnsi="宋体" w:eastAsia="宋体" w:cs="Times New Roman"/>
          <w:color w:val="auto"/>
          <w:kern w:val="2"/>
          <w:sz w:val="21"/>
          <w:szCs w:val="21"/>
          <w:highlight w:val="none"/>
          <w:lang w:val="en-US" w:eastAsia="zh-CN" w:bidi="ar-SA"/>
        </w:rPr>
      </w:pPr>
    </w:p>
    <w:p w14:paraId="7395DE25">
      <w:pPr>
        <w:shd w:val="clear" w:color="auto" w:fill="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 xml:space="preserve">甲方（章）：广西医科大学附属武鸣医院       乙方（章）：     </w:t>
      </w:r>
    </w:p>
    <w:p w14:paraId="0FBB878B">
      <w:pPr>
        <w:shd w:val="clear" w:color="auto" w:fill="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 xml:space="preserve">              </w:t>
      </w:r>
    </w:p>
    <w:p w14:paraId="52148D0A">
      <w:pPr>
        <w:shd w:val="clear" w:color="auto" w:fill="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法定代表人（签字或盖章）：                法定代表人（签字或盖章）：</w:t>
      </w:r>
    </w:p>
    <w:p w14:paraId="656D7BAC">
      <w:pPr>
        <w:shd w:val="clear" w:color="auto" w:fill="auto"/>
        <w:ind w:firstLine="0" w:firstLineChars="0"/>
        <w:rPr>
          <w:rFonts w:hint="eastAsia" w:ascii="宋体" w:hAnsi="宋体" w:eastAsia="宋体" w:cs="Times New Roman"/>
          <w:color w:val="auto"/>
          <w:kern w:val="2"/>
          <w:sz w:val="21"/>
          <w:szCs w:val="21"/>
          <w:highlight w:val="none"/>
          <w:lang w:val="en-US" w:eastAsia="zh-CN" w:bidi="ar-SA"/>
        </w:rPr>
      </w:pPr>
    </w:p>
    <w:p w14:paraId="1C0216E8">
      <w:pPr>
        <w:shd w:val="clear" w:color="auto" w:fill="auto"/>
        <w:ind w:firstLine="420" w:firstLineChars="200"/>
        <w:rPr>
          <w:rFonts w:hint="eastAsia" w:ascii="宋体" w:hAnsi="宋体" w:eastAsia="宋体" w:cs="Times New Roman"/>
          <w:color w:val="auto"/>
          <w:kern w:val="2"/>
          <w:sz w:val="21"/>
          <w:szCs w:val="21"/>
          <w:highlight w:val="none"/>
          <w:lang w:val="en-US" w:eastAsia="zh-CN" w:bidi="ar-SA"/>
        </w:rPr>
      </w:pPr>
    </w:p>
    <w:p w14:paraId="5C3D8609">
      <w:pPr>
        <w:shd w:val="clear" w:color="auto" w:fill="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（或）委托代理人（签字或盖章）：         （或）委托代理人（签字或盖章）：</w:t>
      </w:r>
    </w:p>
    <w:p w14:paraId="4B676B7D">
      <w:pPr>
        <w:shd w:val="clear" w:color="auto" w:fill="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 xml:space="preserve">  </w:t>
      </w:r>
    </w:p>
    <w:p w14:paraId="1A96C807">
      <w:pPr>
        <w:shd w:val="clear" w:color="auto" w:fill="auto"/>
        <w:ind w:firstLine="420" w:firstLineChars="200"/>
        <w:rPr>
          <w:rFonts w:hint="eastAsia" w:ascii="宋体" w:hAnsi="宋体" w:eastAsia="宋体" w:cs="Times New Roman"/>
          <w:color w:val="auto"/>
          <w:kern w:val="2"/>
          <w:sz w:val="21"/>
          <w:szCs w:val="21"/>
          <w:highlight w:val="none"/>
          <w:lang w:val="en-US" w:eastAsia="zh-CN" w:bidi="ar-SA"/>
        </w:rPr>
      </w:pPr>
    </w:p>
    <w:p w14:paraId="5E2C520B">
      <w:pPr>
        <w:shd w:val="clear" w:color="auto" w:fill="auto"/>
        <w:spacing w:line="240" w:lineRule="auto"/>
        <w:ind w:right="0" w:firstLine="420" w:firstLineChars="200"/>
        <w:jc w:val="left"/>
        <w:rPr>
          <w:color w:val="auto"/>
          <w:highlight w:val="none"/>
        </w:rPr>
      </w:pPr>
      <w:r>
        <w:rPr>
          <w:rFonts w:hint="eastAsia" w:ascii="宋体" w:hAnsi="宋体" w:eastAsia="宋体" w:cs="Times New Roman"/>
          <w:color w:val="auto"/>
          <w:kern w:val="2"/>
          <w:sz w:val="21"/>
          <w:szCs w:val="21"/>
          <w:highlight w:val="none"/>
          <w:lang w:val="en-US" w:eastAsia="zh-CN" w:bidi="ar-SA"/>
        </w:rPr>
        <w:t>202</w:t>
      </w:r>
      <w:r>
        <w:rPr>
          <w:rFonts w:hint="eastAsia" w:ascii="宋体" w:hAnsi="宋体" w:cs="Times New Roman"/>
          <w:color w:val="auto"/>
          <w:kern w:val="2"/>
          <w:sz w:val="21"/>
          <w:szCs w:val="21"/>
          <w:highlight w:val="none"/>
          <w:lang w:val="en-US" w:eastAsia="zh-CN" w:bidi="ar-SA"/>
        </w:rPr>
        <w:t>6</w:t>
      </w:r>
      <w:r>
        <w:rPr>
          <w:rFonts w:hint="eastAsia" w:ascii="宋体" w:hAnsi="宋体" w:eastAsia="宋体" w:cs="Times New Roman"/>
          <w:color w:val="auto"/>
          <w:kern w:val="2"/>
          <w:sz w:val="21"/>
          <w:szCs w:val="21"/>
          <w:highlight w:val="none"/>
          <w:lang w:val="en-US" w:eastAsia="zh-CN" w:bidi="ar-SA"/>
        </w:rPr>
        <w:t>年   月   日                                202</w:t>
      </w:r>
      <w:r>
        <w:rPr>
          <w:rFonts w:hint="eastAsia" w:ascii="宋体" w:hAnsi="宋体" w:cs="Times New Roman"/>
          <w:color w:val="auto"/>
          <w:kern w:val="2"/>
          <w:sz w:val="21"/>
          <w:szCs w:val="21"/>
          <w:highlight w:val="none"/>
          <w:lang w:val="en-US" w:eastAsia="zh-CN" w:bidi="ar-SA"/>
        </w:rPr>
        <w:t>6</w:t>
      </w:r>
      <w:r>
        <w:rPr>
          <w:rFonts w:hint="eastAsia" w:ascii="宋体" w:hAnsi="宋体" w:eastAsia="宋体" w:cs="Times New Roman"/>
          <w:color w:val="auto"/>
          <w:kern w:val="2"/>
          <w:sz w:val="21"/>
          <w:szCs w:val="21"/>
          <w:highlight w:val="none"/>
          <w:lang w:val="en-US" w:eastAsia="zh-CN" w:bidi="ar-SA"/>
        </w:rPr>
        <w:t>年   月   日</w:t>
      </w:r>
    </w:p>
    <w:p w14:paraId="4EF70E7F">
      <w:pPr>
        <w:shd w:val="clear"/>
        <w:snapToGrid w:val="0"/>
        <w:jc w:val="center"/>
        <w:rPr>
          <w:rFonts w:hint="eastAsia" w:ascii="宋体" w:hAnsi="宋体"/>
          <w:bCs/>
          <w:color w:val="auto"/>
          <w:sz w:val="32"/>
          <w:szCs w:val="32"/>
          <w:highlight w:val="none"/>
        </w:rPr>
      </w:pPr>
    </w:p>
    <w:p w14:paraId="03827B19">
      <w:pPr>
        <w:shd w:val="clear"/>
        <w:snapToGrid w:val="0"/>
        <w:jc w:val="center"/>
        <w:rPr>
          <w:rFonts w:hint="eastAsia" w:ascii="宋体" w:hAnsi="宋体"/>
          <w:bCs/>
          <w:color w:val="auto"/>
          <w:sz w:val="32"/>
          <w:szCs w:val="32"/>
          <w:highlight w:val="none"/>
        </w:rPr>
      </w:pPr>
    </w:p>
    <w:p w14:paraId="4D88C1EF">
      <w:pPr>
        <w:rPr>
          <w:rFonts w:hint="eastAsia"/>
          <w:color w:val="auto"/>
          <w:highlight w:val="none"/>
        </w:rPr>
      </w:pPr>
      <w:bookmarkStart w:id="159" w:name="_Toc3263"/>
      <w:bookmarkStart w:id="160" w:name="_Toc74320805"/>
    </w:p>
    <w:p w14:paraId="5748BB90">
      <w:pPr>
        <w:pStyle w:val="3"/>
        <w:shd w:val="clear"/>
        <w:jc w:val="center"/>
        <w:rPr>
          <w:color w:val="auto"/>
          <w:highlight w:val="none"/>
        </w:rPr>
      </w:pPr>
      <w:r>
        <w:rPr>
          <w:rFonts w:hint="eastAsia"/>
          <w:color w:val="auto"/>
          <w:highlight w:val="none"/>
        </w:rPr>
        <w:t>第六章　投标文件格式</w:t>
      </w:r>
      <w:bookmarkEnd w:id="159"/>
      <w:bookmarkEnd w:id="160"/>
    </w:p>
    <w:p w14:paraId="7A374C2D">
      <w:pPr>
        <w:shd w:val="clear"/>
        <w:rPr>
          <w:b/>
          <w:color w:val="auto"/>
          <w:sz w:val="28"/>
          <w:szCs w:val="28"/>
          <w:highlight w:val="none"/>
        </w:rPr>
      </w:pPr>
      <w:bookmarkStart w:id="161" w:name="_Toc254970556"/>
      <w:bookmarkStart w:id="162" w:name="_Toc19686835"/>
      <w:bookmarkStart w:id="163" w:name="_Toc254970697"/>
      <w:r>
        <w:rPr>
          <w:rFonts w:hint="eastAsia"/>
          <w:b/>
          <w:color w:val="auto"/>
          <w:sz w:val="28"/>
          <w:szCs w:val="28"/>
          <w:highlight w:val="none"/>
        </w:rPr>
        <w:t>一、投标文件外层包装封面格式</w:t>
      </w:r>
      <w:bookmarkEnd w:id="161"/>
      <w:bookmarkEnd w:id="162"/>
      <w:bookmarkEnd w:id="163"/>
      <w:r>
        <w:rPr>
          <w:rFonts w:hint="eastAsia"/>
          <w:b/>
          <w:color w:val="auto"/>
          <w:sz w:val="28"/>
          <w:szCs w:val="28"/>
          <w:highlight w:val="none"/>
        </w:rPr>
        <w:t xml:space="preserve"> </w:t>
      </w:r>
    </w:p>
    <w:p w14:paraId="6FA261B5">
      <w:pPr>
        <w:shd w:val="clear"/>
        <w:snapToGrid w:val="0"/>
        <w:spacing w:before="120" w:beforeLines="50" w:after="50"/>
        <w:rPr>
          <w:rFonts w:hint="eastAsia" w:ascii="宋体" w:hAnsi="宋体"/>
          <w:color w:val="auto"/>
          <w:sz w:val="24"/>
          <w:szCs w:val="20"/>
          <w:highlight w:val="none"/>
        </w:rPr>
      </w:pPr>
    </w:p>
    <w:p w14:paraId="686D81C2">
      <w:pPr>
        <w:shd w:val="clear"/>
        <w:snapToGrid w:val="0"/>
        <w:spacing w:before="120" w:beforeLines="50" w:after="50"/>
        <w:jc w:val="center"/>
        <w:rPr>
          <w:rFonts w:hint="eastAsia" w:ascii="宋体" w:hAnsi="宋体"/>
          <w:bCs/>
          <w:color w:val="auto"/>
          <w:sz w:val="24"/>
          <w:szCs w:val="20"/>
          <w:highlight w:val="none"/>
        </w:rPr>
      </w:pPr>
    </w:p>
    <w:p w14:paraId="63D27A68">
      <w:pPr>
        <w:shd w:val="clear"/>
        <w:snapToGrid w:val="0"/>
        <w:spacing w:before="120" w:beforeLines="50" w:after="50"/>
        <w:jc w:val="center"/>
        <w:rPr>
          <w:rFonts w:hint="eastAsia"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投  标  文  件</w:t>
      </w:r>
    </w:p>
    <w:p w14:paraId="2E3426F4">
      <w:pPr>
        <w:shd w:val="clear"/>
        <w:snapToGrid w:val="0"/>
        <w:spacing w:before="120" w:beforeLines="50" w:after="50"/>
        <w:rPr>
          <w:rFonts w:hint="eastAsia" w:ascii="宋体" w:hAnsi="宋体"/>
          <w:bCs/>
          <w:color w:val="auto"/>
          <w:sz w:val="24"/>
          <w:szCs w:val="20"/>
          <w:highlight w:val="none"/>
        </w:rPr>
      </w:pPr>
    </w:p>
    <w:p w14:paraId="77647D8F">
      <w:pPr>
        <w:shd w:val="clear"/>
        <w:snapToGrid w:val="0"/>
        <w:spacing w:before="120" w:beforeLines="50" w:after="50"/>
        <w:rPr>
          <w:rFonts w:hint="eastAsia" w:ascii="宋体" w:hAnsi="宋体"/>
          <w:bCs/>
          <w:color w:val="auto"/>
          <w:sz w:val="24"/>
          <w:szCs w:val="20"/>
          <w:highlight w:val="none"/>
        </w:rPr>
      </w:pPr>
    </w:p>
    <w:p w14:paraId="42491D48">
      <w:pPr>
        <w:shd w:val="clear"/>
        <w:snapToGrid w:val="0"/>
        <w:spacing w:before="120" w:beforeLines="50" w:after="50"/>
        <w:rPr>
          <w:rFonts w:hint="eastAsia" w:ascii="宋体" w:hAnsi="宋体"/>
          <w:bCs/>
          <w:color w:val="auto"/>
          <w:sz w:val="24"/>
          <w:szCs w:val="20"/>
          <w:highlight w:val="none"/>
        </w:rPr>
      </w:pPr>
    </w:p>
    <w:p w14:paraId="237B2B53">
      <w:pPr>
        <w:shd w:val="clear"/>
        <w:snapToGrid w:val="0"/>
        <w:spacing w:before="120" w:beforeLines="50" w:after="50"/>
        <w:rPr>
          <w:rFonts w:hint="eastAsia" w:ascii="宋体" w:hAnsi="宋体"/>
          <w:bCs/>
          <w:color w:val="auto"/>
          <w:sz w:val="24"/>
          <w:szCs w:val="20"/>
          <w:highlight w:val="none"/>
        </w:rPr>
      </w:pPr>
    </w:p>
    <w:p w14:paraId="74ABE5C3">
      <w:pPr>
        <w:shd w:val="clear"/>
        <w:snapToGrid w:val="0"/>
        <w:spacing w:before="120" w:beforeLines="50" w:after="50"/>
        <w:rPr>
          <w:rFonts w:hint="eastAsia" w:ascii="宋体" w:hAnsi="宋体"/>
          <w:bCs/>
          <w:color w:val="auto"/>
          <w:sz w:val="24"/>
          <w:szCs w:val="20"/>
          <w:highlight w:val="none"/>
        </w:rPr>
      </w:pPr>
    </w:p>
    <w:p w14:paraId="3BC174BF">
      <w:pPr>
        <w:shd w:val="clear"/>
        <w:snapToGrid w:val="0"/>
        <w:spacing w:before="120" w:beforeLines="50" w:after="50"/>
        <w:rPr>
          <w:rFonts w:hint="eastAsia" w:ascii="宋体" w:hAnsi="宋体"/>
          <w:bCs/>
          <w:color w:val="auto"/>
          <w:sz w:val="24"/>
          <w:szCs w:val="20"/>
          <w:highlight w:val="none"/>
        </w:rPr>
      </w:pPr>
    </w:p>
    <w:p w14:paraId="17EA3251">
      <w:pPr>
        <w:shd w:val="clear"/>
        <w:snapToGrid w:val="0"/>
        <w:spacing w:before="120" w:beforeLines="50" w:after="50"/>
        <w:ind w:firstLine="360" w:firstLineChars="150"/>
        <w:rPr>
          <w:rFonts w:hint="eastAsia" w:ascii="宋体" w:hAnsi="宋体"/>
          <w:bCs/>
          <w:color w:val="auto"/>
          <w:sz w:val="24"/>
          <w:highlight w:val="none"/>
        </w:rPr>
      </w:pPr>
      <w:r>
        <w:rPr>
          <w:rFonts w:hint="eastAsia" w:ascii="宋体" w:hAnsi="宋体"/>
          <w:bCs/>
          <w:color w:val="auto"/>
          <w:sz w:val="24"/>
          <w:highlight w:val="none"/>
        </w:rPr>
        <w:t>项目名称：</w:t>
      </w:r>
    </w:p>
    <w:p w14:paraId="435DA5C9">
      <w:pPr>
        <w:shd w:val="clear"/>
        <w:snapToGrid w:val="0"/>
        <w:spacing w:before="120" w:beforeLines="50" w:after="50"/>
        <w:ind w:firstLine="360" w:firstLineChars="150"/>
        <w:rPr>
          <w:rFonts w:hint="eastAsia" w:ascii="宋体" w:hAnsi="宋体"/>
          <w:bCs/>
          <w:color w:val="auto"/>
          <w:sz w:val="24"/>
          <w:szCs w:val="20"/>
          <w:highlight w:val="none"/>
        </w:rPr>
      </w:pPr>
    </w:p>
    <w:p w14:paraId="444ECD5B">
      <w:pPr>
        <w:shd w:val="clear"/>
        <w:snapToGrid w:val="0"/>
        <w:spacing w:before="120" w:beforeLines="50" w:after="50"/>
        <w:ind w:firstLine="360" w:firstLineChars="150"/>
        <w:rPr>
          <w:rFonts w:hint="eastAsia" w:ascii="宋体" w:hAnsi="宋体"/>
          <w:bCs/>
          <w:color w:val="auto"/>
          <w:sz w:val="24"/>
          <w:highlight w:val="none"/>
        </w:rPr>
      </w:pPr>
      <w:r>
        <w:rPr>
          <w:rFonts w:hint="eastAsia" w:ascii="宋体" w:hAnsi="宋体"/>
          <w:bCs/>
          <w:color w:val="auto"/>
          <w:sz w:val="24"/>
          <w:highlight w:val="none"/>
        </w:rPr>
        <w:t>项目编号：</w:t>
      </w:r>
    </w:p>
    <w:p w14:paraId="146A7163">
      <w:pPr>
        <w:shd w:val="clear"/>
        <w:snapToGrid w:val="0"/>
        <w:spacing w:before="120" w:beforeLines="50" w:after="50"/>
        <w:ind w:firstLine="360" w:firstLineChars="150"/>
        <w:rPr>
          <w:rFonts w:hint="eastAsia" w:ascii="宋体" w:hAnsi="宋体"/>
          <w:bCs/>
          <w:color w:val="auto"/>
          <w:sz w:val="24"/>
          <w:szCs w:val="20"/>
          <w:highlight w:val="none"/>
        </w:rPr>
      </w:pPr>
    </w:p>
    <w:p w14:paraId="5E114C36">
      <w:pPr>
        <w:shd w:val="clear"/>
        <w:snapToGrid w:val="0"/>
        <w:spacing w:before="120" w:beforeLines="50" w:after="50"/>
        <w:ind w:firstLine="360" w:firstLineChars="150"/>
        <w:rPr>
          <w:rFonts w:hint="eastAsia" w:ascii="宋体" w:hAnsi="宋体"/>
          <w:bCs/>
          <w:color w:val="auto"/>
          <w:sz w:val="24"/>
          <w:highlight w:val="none"/>
        </w:rPr>
      </w:pPr>
      <w:r>
        <w:rPr>
          <w:rFonts w:hint="eastAsia" w:ascii="宋体" w:hAnsi="宋体"/>
          <w:bCs/>
          <w:color w:val="auto"/>
          <w:sz w:val="24"/>
          <w:highlight w:val="none"/>
        </w:rPr>
        <w:t>所投分标：</w:t>
      </w:r>
    </w:p>
    <w:p w14:paraId="4190342E">
      <w:pPr>
        <w:shd w:val="clear"/>
        <w:snapToGrid w:val="0"/>
        <w:spacing w:before="120" w:beforeLines="50" w:after="50"/>
        <w:rPr>
          <w:rFonts w:hint="eastAsia" w:ascii="宋体" w:hAnsi="宋体"/>
          <w:bCs/>
          <w:color w:val="auto"/>
          <w:sz w:val="24"/>
          <w:szCs w:val="20"/>
          <w:highlight w:val="none"/>
        </w:rPr>
      </w:pPr>
    </w:p>
    <w:p w14:paraId="245EA65A">
      <w:pPr>
        <w:shd w:val="clear"/>
        <w:snapToGrid w:val="0"/>
        <w:spacing w:before="120" w:beforeLines="50" w:after="50"/>
        <w:ind w:firstLine="360" w:firstLineChars="150"/>
        <w:rPr>
          <w:rFonts w:hint="eastAsia" w:ascii="宋体" w:hAnsi="宋体"/>
          <w:bCs/>
          <w:color w:val="auto"/>
          <w:sz w:val="24"/>
          <w:szCs w:val="20"/>
          <w:highlight w:val="none"/>
        </w:rPr>
      </w:pPr>
      <w:r>
        <w:rPr>
          <w:rFonts w:hint="eastAsia" w:ascii="宋体" w:hAnsi="宋体"/>
          <w:bCs/>
          <w:color w:val="auto"/>
          <w:sz w:val="24"/>
          <w:szCs w:val="20"/>
          <w:highlight w:val="none"/>
        </w:rPr>
        <w:t>投标人名称：</w:t>
      </w:r>
    </w:p>
    <w:p w14:paraId="40288D45">
      <w:pPr>
        <w:shd w:val="clear"/>
        <w:snapToGrid w:val="0"/>
        <w:spacing w:before="120" w:beforeLines="50" w:after="50"/>
        <w:ind w:firstLine="360" w:firstLineChars="150"/>
        <w:rPr>
          <w:rFonts w:hint="eastAsia" w:ascii="宋体" w:hAnsi="宋体"/>
          <w:bCs/>
          <w:color w:val="auto"/>
          <w:sz w:val="24"/>
          <w:szCs w:val="20"/>
          <w:highlight w:val="none"/>
        </w:rPr>
      </w:pPr>
    </w:p>
    <w:p w14:paraId="69DC9806">
      <w:pPr>
        <w:shd w:val="clear"/>
        <w:snapToGrid w:val="0"/>
        <w:spacing w:before="120" w:beforeLines="50" w:after="50"/>
        <w:ind w:firstLine="360" w:firstLineChars="150"/>
        <w:rPr>
          <w:rFonts w:hint="eastAsia" w:ascii="宋体" w:hAnsi="宋体"/>
          <w:bCs/>
          <w:color w:val="auto"/>
          <w:sz w:val="24"/>
          <w:szCs w:val="20"/>
          <w:highlight w:val="none"/>
        </w:rPr>
      </w:pPr>
      <w:r>
        <w:rPr>
          <w:rFonts w:hint="eastAsia" w:ascii="宋体" w:hAnsi="宋体"/>
          <w:bCs/>
          <w:color w:val="auto"/>
          <w:sz w:val="24"/>
          <w:szCs w:val="20"/>
          <w:highlight w:val="none"/>
        </w:rPr>
        <w:t>投标人地址：</w:t>
      </w:r>
    </w:p>
    <w:p w14:paraId="711861B7">
      <w:pPr>
        <w:shd w:val="clear"/>
        <w:snapToGrid w:val="0"/>
        <w:spacing w:before="120" w:beforeLines="50" w:after="50"/>
        <w:ind w:firstLine="360" w:firstLineChars="150"/>
        <w:rPr>
          <w:rFonts w:hint="eastAsia" w:ascii="宋体" w:hAnsi="宋体"/>
          <w:bCs/>
          <w:color w:val="auto"/>
          <w:sz w:val="24"/>
          <w:szCs w:val="20"/>
          <w:highlight w:val="none"/>
        </w:rPr>
      </w:pPr>
    </w:p>
    <w:p w14:paraId="48F4EA89">
      <w:pPr>
        <w:shd w:val="clear"/>
        <w:snapToGrid w:val="0"/>
        <w:spacing w:before="120" w:beforeLines="50" w:after="50"/>
        <w:ind w:firstLine="360" w:firstLineChars="150"/>
        <w:jc w:val="center"/>
        <w:rPr>
          <w:rFonts w:hint="eastAsia" w:ascii="宋体" w:hAnsi="宋体"/>
          <w:bCs/>
          <w:color w:val="auto"/>
          <w:sz w:val="24"/>
          <w:highlight w:val="none"/>
        </w:rPr>
      </w:pPr>
      <w:r>
        <w:rPr>
          <w:rFonts w:hint="eastAsia" w:ascii="宋体" w:hAnsi="宋体"/>
          <w:bCs/>
          <w:color w:val="auto"/>
          <w:sz w:val="24"/>
          <w:szCs w:val="20"/>
          <w:highlight w:val="none"/>
        </w:rPr>
        <w:t>投标截止时间前不得启封</w:t>
      </w:r>
    </w:p>
    <w:p w14:paraId="5D48E3C4">
      <w:pPr>
        <w:shd w:val="clear"/>
        <w:snapToGrid w:val="0"/>
        <w:spacing w:before="120" w:beforeLines="50" w:after="50"/>
        <w:ind w:firstLine="4080" w:firstLineChars="1700"/>
        <w:rPr>
          <w:rFonts w:hint="eastAsia" w:ascii="宋体" w:hAnsi="宋体"/>
          <w:bCs/>
          <w:color w:val="auto"/>
          <w:sz w:val="24"/>
          <w:szCs w:val="20"/>
          <w:highlight w:val="none"/>
        </w:rPr>
      </w:pPr>
    </w:p>
    <w:p w14:paraId="3362BFA8">
      <w:pPr>
        <w:shd w:val="clear"/>
        <w:snapToGrid w:val="0"/>
        <w:spacing w:before="120" w:beforeLines="50" w:after="50"/>
        <w:jc w:val="center"/>
        <w:outlineLvl w:val="1"/>
        <w:rPr>
          <w:rFonts w:hint="eastAsia" w:ascii="宋体" w:hAnsi="宋体"/>
          <w:color w:val="auto"/>
          <w:highlight w:val="none"/>
        </w:rPr>
      </w:pPr>
      <w:r>
        <w:rPr>
          <w:rFonts w:hint="eastAsia" w:ascii="宋体" w:hAnsi="宋体"/>
          <w:bCs/>
          <w:color w:val="auto"/>
          <w:sz w:val="24"/>
          <w:highlight w:val="none"/>
        </w:rPr>
        <w:t xml:space="preserve">                        年    月    日</w:t>
      </w:r>
    </w:p>
    <w:p w14:paraId="79BBC0E0">
      <w:pPr>
        <w:shd w:val="clear"/>
        <w:snapToGrid w:val="0"/>
        <w:spacing w:before="120" w:beforeLines="50" w:after="50"/>
        <w:jc w:val="center"/>
        <w:outlineLvl w:val="1"/>
        <w:rPr>
          <w:rFonts w:hint="eastAsia" w:ascii="宋体" w:hAnsi="宋体"/>
          <w:color w:val="auto"/>
          <w:highlight w:val="none"/>
        </w:rPr>
      </w:pPr>
      <w:r>
        <w:rPr>
          <w:rFonts w:ascii="宋体" w:hAnsi="宋体"/>
          <w:color w:val="auto"/>
          <w:highlight w:val="none"/>
        </w:rPr>
        <w:br w:type="page"/>
      </w:r>
    </w:p>
    <w:p w14:paraId="00F28522">
      <w:pPr>
        <w:shd w:val="clear"/>
        <w:rPr>
          <w:b/>
          <w:color w:val="auto"/>
          <w:sz w:val="28"/>
          <w:szCs w:val="28"/>
          <w:highlight w:val="none"/>
        </w:rPr>
      </w:pPr>
      <w:bookmarkStart w:id="164" w:name="_Toc19686836"/>
      <w:bookmarkStart w:id="165" w:name="_Toc254970698"/>
      <w:bookmarkStart w:id="166" w:name="_Toc254970557"/>
      <w:r>
        <w:rPr>
          <w:rFonts w:hint="eastAsia"/>
          <w:b/>
          <w:color w:val="auto"/>
          <w:sz w:val="28"/>
          <w:szCs w:val="28"/>
          <w:highlight w:val="none"/>
        </w:rPr>
        <w:t>二、报价文件格式</w:t>
      </w:r>
      <w:bookmarkEnd w:id="164"/>
    </w:p>
    <w:p w14:paraId="531CFDC8">
      <w:pPr>
        <w:shd w:val="clear"/>
        <w:snapToGrid w:val="0"/>
        <w:spacing w:before="120" w:beforeLines="50" w:after="50" w:line="360" w:lineRule="auto"/>
        <w:ind w:left="142"/>
        <w:jc w:val="left"/>
        <w:rPr>
          <w:rFonts w:hint="eastAsia" w:ascii="宋体" w:hAnsi="宋体"/>
          <w:color w:val="auto"/>
          <w:sz w:val="24"/>
          <w:szCs w:val="20"/>
          <w:highlight w:val="none"/>
        </w:rPr>
      </w:pPr>
      <w:r>
        <w:rPr>
          <w:rFonts w:hint="eastAsia" w:ascii="宋体" w:hAnsi="宋体"/>
          <w:b/>
          <w:color w:val="auto"/>
          <w:sz w:val="24"/>
          <w:highlight w:val="none"/>
        </w:rPr>
        <w:t xml:space="preserve">1. 报价文件封面格式： </w:t>
      </w:r>
    </w:p>
    <w:p w14:paraId="4B922773">
      <w:pPr>
        <w:shd w:val="clear"/>
        <w:snapToGrid w:val="0"/>
        <w:spacing w:before="120" w:beforeLines="50" w:after="50" w:line="400" w:lineRule="exact"/>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正本/副本</w:t>
      </w:r>
    </w:p>
    <w:p w14:paraId="14FACE36">
      <w:pPr>
        <w:shd w:val="clear"/>
        <w:snapToGrid w:val="0"/>
        <w:spacing w:before="120" w:beforeLines="50" w:after="50" w:line="400" w:lineRule="exact"/>
        <w:jc w:val="center"/>
        <w:rPr>
          <w:rFonts w:hint="eastAsia" w:ascii="宋体" w:hAnsi="宋体"/>
          <w:bCs/>
          <w:color w:val="auto"/>
          <w:sz w:val="24"/>
          <w:szCs w:val="20"/>
          <w:highlight w:val="none"/>
        </w:rPr>
      </w:pPr>
    </w:p>
    <w:p w14:paraId="1F4E810D">
      <w:pPr>
        <w:shd w:val="clear"/>
        <w:snapToGrid w:val="0"/>
        <w:spacing w:before="120" w:beforeLines="50" w:after="50" w:line="400" w:lineRule="exact"/>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rPr>
        <w:t>报  价  文  件</w:t>
      </w:r>
    </w:p>
    <w:p w14:paraId="7593A15A">
      <w:pPr>
        <w:shd w:val="clear"/>
        <w:snapToGrid w:val="0"/>
        <w:spacing w:before="120" w:beforeLines="50" w:after="50" w:line="400" w:lineRule="exact"/>
        <w:rPr>
          <w:rFonts w:hint="eastAsia" w:ascii="宋体" w:hAnsi="宋体"/>
          <w:bCs/>
          <w:color w:val="auto"/>
          <w:sz w:val="24"/>
          <w:szCs w:val="20"/>
          <w:highlight w:val="none"/>
        </w:rPr>
      </w:pPr>
    </w:p>
    <w:p w14:paraId="4EDD784B">
      <w:pPr>
        <w:shd w:val="clear"/>
        <w:snapToGrid w:val="0"/>
        <w:spacing w:before="120" w:beforeLines="50" w:after="50" w:line="400" w:lineRule="exact"/>
        <w:rPr>
          <w:rFonts w:hint="eastAsia" w:ascii="宋体" w:hAnsi="宋体"/>
          <w:bCs/>
          <w:color w:val="auto"/>
          <w:sz w:val="24"/>
          <w:szCs w:val="20"/>
          <w:highlight w:val="none"/>
        </w:rPr>
      </w:pPr>
    </w:p>
    <w:p w14:paraId="24AF4754">
      <w:pPr>
        <w:shd w:val="clear"/>
        <w:snapToGrid w:val="0"/>
        <w:spacing w:before="120" w:beforeLines="50" w:after="50" w:line="400" w:lineRule="exact"/>
        <w:rPr>
          <w:rFonts w:hint="eastAsia" w:ascii="宋体" w:hAnsi="宋体"/>
          <w:bCs/>
          <w:color w:val="auto"/>
          <w:sz w:val="24"/>
          <w:szCs w:val="20"/>
          <w:highlight w:val="none"/>
        </w:rPr>
      </w:pPr>
    </w:p>
    <w:p w14:paraId="23C1DD8D">
      <w:pPr>
        <w:shd w:val="clear"/>
        <w:snapToGrid w:val="0"/>
        <w:spacing w:before="120" w:beforeLines="50" w:after="50" w:line="400" w:lineRule="exact"/>
        <w:rPr>
          <w:rFonts w:hint="eastAsia" w:ascii="宋体" w:hAnsi="宋体"/>
          <w:bCs/>
          <w:color w:val="auto"/>
          <w:sz w:val="24"/>
          <w:szCs w:val="20"/>
          <w:highlight w:val="none"/>
        </w:rPr>
      </w:pPr>
    </w:p>
    <w:p w14:paraId="7C6BFC4F">
      <w:pPr>
        <w:shd w:val="clea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 xml:space="preserve">项目名称： </w:t>
      </w:r>
    </w:p>
    <w:p w14:paraId="5FE5242A">
      <w:pPr>
        <w:shd w:val="clear"/>
        <w:snapToGrid w:val="0"/>
        <w:spacing w:before="120" w:beforeLines="50" w:after="50" w:line="400" w:lineRule="exact"/>
        <w:ind w:firstLine="360" w:firstLineChars="150"/>
        <w:rPr>
          <w:rFonts w:hint="eastAsia" w:ascii="宋体" w:hAnsi="宋体"/>
          <w:bCs/>
          <w:color w:val="auto"/>
          <w:sz w:val="24"/>
          <w:highlight w:val="none"/>
        </w:rPr>
      </w:pPr>
    </w:p>
    <w:p w14:paraId="68313A46">
      <w:pPr>
        <w:shd w:val="clea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 xml:space="preserve">项目编号： </w:t>
      </w:r>
    </w:p>
    <w:p w14:paraId="63A9190C">
      <w:pPr>
        <w:shd w:val="clear"/>
        <w:snapToGrid w:val="0"/>
        <w:spacing w:before="120" w:beforeLines="50" w:after="50" w:line="400" w:lineRule="exact"/>
        <w:ind w:firstLine="360" w:firstLineChars="150"/>
        <w:rPr>
          <w:rFonts w:hint="eastAsia" w:ascii="宋体" w:hAnsi="宋体"/>
          <w:bCs/>
          <w:color w:val="auto"/>
          <w:sz w:val="24"/>
          <w:highlight w:val="none"/>
        </w:rPr>
      </w:pPr>
    </w:p>
    <w:p w14:paraId="34D079F2">
      <w:pPr>
        <w:shd w:val="clea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所投分标：</w:t>
      </w:r>
    </w:p>
    <w:p w14:paraId="72F7217E">
      <w:pPr>
        <w:shd w:val="clear"/>
        <w:snapToGrid w:val="0"/>
        <w:spacing w:before="120" w:beforeLines="50" w:after="50" w:line="400" w:lineRule="exact"/>
        <w:ind w:firstLine="360" w:firstLineChars="150"/>
        <w:rPr>
          <w:rFonts w:hint="eastAsia" w:ascii="宋体" w:hAnsi="宋体"/>
          <w:bCs/>
          <w:color w:val="auto"/>
          <w:sz w:val="24"/>
          <w:highlight w:val="none"/>
        </w:rPr>
      </w:pPr>
    </w:p>
    <w:p w14:paraId="24867DCB">
      <w:pPr>
        <w:shd w:val="clea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投标人名称：</w:t>
      </w:r>
    </w:p>
    <w:p w14:paraId="7D2C2DEA">
      <w:pPr>
        <w:shd w:val="clear"/>
        <w:snapToGrid w:val="0"/>
        <w:spacing w:before="120" w:beforeLines="50" w:after="50" w:line="400" w:lineRule="exact"/>
        <w:ind w:firstLine="360" w:firstLineChars="150"/>
        <w:rPr>
          <w:rFonts w:hint="eastAsia" w:ascii="宋体" w:hAnsi="宋体"/>
          <w:bCs/>
          <w:color w:val="auto"/>
          <w:sz w:val="24"/>
          <w:highlight w:val="none"/>
        </w:rPr>
      </w:pPr>
    </w:p>
    <w:p w14:paraId="5E9A456D">
      <w:pPr>
        <w:shd w:val="clea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投标人地址：</w:t>
      </w:r>
    </w:p>
    <w:p w14:paraId="16806EE3">
      <w:pPr>
        <w:pStyle w:val="8"/>
        <w:shd w:val="clear"/>
        <w:snapToGrid w:val="0"/>
        <w:spacing w:before="50" w:after="50" w:line="400" w:lineRule="exact"/>
        <w:ind w:firstLine="960" w:firstLineChars="400"/>
        <w:rPr>
          <w:rFonts w:hint="eastAsia" w:ascii="宋体" w:hAnsi="宋体"/>
          <w:bCs/>
          <w:color w:val="auto"/>
          <w:sz w:val="24"/>
          <w:szCs w:val="24"/>
          <w:highlight w:val="none"/>
        </w:rPr>
      </w:pPr>
    </w:p>
    <w:p w14:paraId="775DC55C">
      <w:pPr>
        <w:shd w:val="clear"/>
        <w:snapToGrid w:val="0"/>
        <w:spacing w:before="120" w:beforeLines="50" w:after="50" w:line="400" w:lineRule="exact"/>
        <w:rPr>
          <w:rFonts w:hint="eastAsia" w:ascii="宋体" w:hAnsi="宋体"/>
          <w:color w:val="auto"/>
          <w:sz w:val="30"/>
          <w:szCs w:val="20"/>
          <w:highlight w:val="none"/>
        </w:rPr>
      </w:pPr>
      <w:r>
        <w:rPr>
          <w:rFonts w:hint="eastAsia" w:ascii="宋体" w:hAnsi="宋体"/>
          <w:color w:val="auto"/>
          <w:sz w:val="24"/>
          <w:highlight w:val="none"/>
        </w:rPr>
        <w:t xml:space="preserve">                                   年  月  日</w:t>
      </w:r>
    </w:p>
    <w:p w14:paraId="04AB705A">
      <w:pPr>
        <w:shd w:val="clear"/>
        <w:snapToGrid w:val="0"/>
        <w:spacing w:before="120" w:beforeLines="50" w:after="50" w:line="360" w:lineRule="auto"/>
        <w:jc w:val="left"/>
        <w:rPr>
          <w:rFonts w:hint="eastAsia" w:ascii="宋体" w:hAnsi="宋体"/>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rPr>
        <w:t>2.</w:t>
      </w:r>
      <w:r>
        <w:rPr>
          <w:rFonts w:hint="eastAsia" w:ascii="宋体" w:hAnsi="宋体"/>
          <w:b/>
          <w:bCs/>
          <w:color w:val="auto"/>
          <w:sz w:val="24"/>
          <w:highlight w:val="none"/>
        </w:rPr>
        <w:t>报价文件目录</w:t>
      </w:r>
    </w:p>
    <w:p w14:paraId="378BE25A">
      <w:pPr>
        <w:shd w:val="clear"/>
        <w:snapToGrid w:val="0"/>
        <w:spacing w:before="50" w:after="120" w:afterLines="50" w:line="360" w:lineRule="auto"/>
        <w:jc w:val="left"/>
        <w:rPr>
          <w:rFonts w:hint="eastAsia" w:ascii="宋体" w:hAnsi="宋体"/>
          <w:b/>
          <w:color w:val="auto"/>
          <w:sz w:val="24"/>
          <w:highlight w:val="none"/>
        </w:rPr>
      </w:pPr>
      <w:r>
        <w:rPr>
          <w:rFonts w:hint="eastAsia" w:ascii="宋体" w:hAnsi="宋体"/>
          <w:color w:val="auto"/>
          <w:szCs w:val="21"/>
          <w:highlight w:val="none"/>
        </w:rPr>
        <w:t>根据招标文件规定及投标人提供的材料自行编写目录。</w:t>
      </w:r>
    </w:p>
    <w:p w14:paraId="2F5DCD5A">
      <w:pPr>
        <w:shd w:val="clear"/>
        <w:snapToGrid w:val="0"/>
        <w:spacing w:before="120" w:beforeLines="50" w:after="50"/>
        <w:rPr>
          <w:rFonts w:hint="eastAsia" w:ascii="宋体" w:hAnsi="宋体"/>
          <w:b/>
          <w:color w:val="auto"/>
          <w:sz w:val="24"/>
          <w:highlight w:val="none"/>
        </w:rPr>
      </w:pPr>
    </w:p>
    <w:p w14:paraId="1E961150">
      <w:pPr>
        <w:shd w:val="clear"/>
        <w:snapToGrid w:val="0"/>
        <w:spacing w:before="120" w:beforeLines="50" w:after="50"/>
        <w:rPr>
          <w:rFonts w:hint="eastAsia" w:ascii="宋体" w:hAnsi="宋体"/>
          <w:b/>
          <w:color w:val="auto"/>
          <w:sz w:val="24"/>
          <w:highlight w:val="none"/>
        </w:rPr>
      </w:pPr>
    </w:p>
    <w:p w14:paraId="57F18335">
      <w:pPr>
        <w:shd w:val="clear"/>
        <w:snapToGrid w:val="0"/>
        <w:spacing w:before="120" w:beforeLines="50" w:after="50"/>
        <w:rPr>
          <w:rFonts w:hint="eastAsia" w:ascii="宋体" w:hAnsi="宋体"/>
          <w:b/>
          <w:color w:val="auto"/>
          <w:sz w:val="24"/>
          <w:highlight w:val="none"/>
        </w:rPr>
      </w:pPr>
    </w:p>
    <w:p w14:paraId="7169FA5C">
      <w:pPr>
        <w:shd w:val="clear"/>
        <w:snapToGrid w:val="0"/>
        <w:spacing w:before="120" w:beforeLines="50" w:after="50"/>
        <w:ind w:left="142"/>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3. 投标函格式：</w:t>
      </w:r>
    </w:p>
    <w:p w14:paraId="27D867BB">
      <w:pPr>
        <w:shd w:val="clear"/>
        <w:snapToGrid w:val="0"/>
        <w:spacing w:before="120" w:beforeLines="50" w:after="50" w:line="360" w:lineRule="auto"/>
        <w:jc w:val="center"/>
        <w:rPr>
          <w:rFonts w:hint="eastAsia"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投 标 函</w:t>
      </w:r>
    </w:p>
    <w:p w14:paraId="1209955E">
      <w:pPr>
        <w:shd w:val="clear"/>
        <w:spacing w:line="360" w:lineRule="auto"/>
        <w:contextualSpacing/>
        <w:rPr>
          <w:rFonts w:hint="eastAsia"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招标人名称</w:t>
      </w:r>
      <w:r>
        <w:rPr>
          <w:rFonts w:hint="eastAsia" w:ascii="宋体" w:hAnsi="宋体"/>
          <w:color w:val="auto"/>
          <w:sz w:val="24"/>
          <w:highlight w:val="none"/>
        </w:rPr>
        <w:t>：</w:t>
      </w:r>
    </w:p>
    <w:p w14:paraId="605E524E">
      <w:pPr>
        <w:shd w:val="clea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根据贵方</w:t>
      </w:r>
      <w:r>
        <w:rPr>
          <w:rFonts w:hint="eastAsia" w:ascii="宋体" w:hAnsi="宋体"/>
          <w:color w:val="auto"/>
          <w:sz w:val="24"/>
          <w:highlight w:val="none"/>
          <w:u w:val="single"/>
        </w:rPr>
        <w:t xml:space="preserve"> 项目名称</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）的招标公告，签字代表______</w:t>
      </w:r>
      <w:r>
        <w:rPr>
          <w:rFonts w:hint="eastAsia" w:ascii="宋体" w:hAnsi="宋体"/>
          <w:color w:val="auto"/>
          <w:sz w:val="24"/>
          <w:highlight w:val="none"/>
          <w:u w:val="single"/>
        </w:rPr>
        <w:t xml:space="preserve">     </w:t>
      </w:r>
      <w:r>
        <w:rPr>
          <w:rFonts w:hint="eastAsia" w:ascii="宋体" w:hAnsi="宋体"/>
          <w:color w:val="auto"/>
          <w:sz w:val="24"/>
          <w:highlight w:val="none"/>
        </w:rPr>
        <w:t>（姓名）经正式授权并代表投标人</w:t>
      </w:r>
      <w:r>
        <w:rPr>
          <w:rFonts w:hint="eastAsia" w:ascii="宋体" w:hAnsi="宋体"/>
          <w:color w:val="auto"/>
          <w:sz w:val="24"/>
          <w:highlight w:val="none"/>
          <w:u w:val="single"/>
        </w:rPr>
        <w:t xml:space="preserve">                 </w:t>
      </w:r>
      <w:r>
        <w:rPr>
          <w:rFonts w:hint="eastAsia" w:ascii="宋体" w:hAnsi="宋体"/>
          <w:color w:val="auto"/>
          <w:sz w:val="24"/>
          <w:highlight w:val="none"/>
        </w:rPr>
        <w:t>（投标人名称）提交投标文件。</w:t>
      </w:r>
    </w:p>
    <w:p w14:paraId="1785E7D1">
      <w:pPr>
        <w:shd w:val="clear"/>
        <w:spacing w:line="360" w:lineRule="auto"/>
        <w:ind w:firstLine="480" w:firstLineChars="200"/>
        <w:contextualSpacing/>
        <w:rPr>
          <w:rFonts w:hint="eastAsia" w:ascii="宋体" w:hAnsi="宋体"/>
          <w:color w:val="auto"/>
          <w:sz w:val="24"/>
          <w:highlight w:val="none"/>
        </w:rPr>
      </w:pPr>
      <w:r>
        <w:rPr>
          <w:rFonts w:hint="eastAsia" w:ascii="宋体" w:hAnsi="宋体"/>
          <w:color w:val="auto"/>
          <w:sz w:val="24"/>
          <w:highlight w:val="none"/>
        </w:rPr>
        <w:t>据此函，我方宣布同意如下：</w:t>
      </w:r>
    </w:p>
    <w:p w14:paraId="52808DD0">
      <w:pPr>
        <w:shd w:val="clear"/>
        <w:spacing w:line="360" w:lineRule="auto"/>
        <w:ind w:firstLine="480" w:firstLineChars="200"/>
        <w:contextualSpacing/>
        <w:rPr>
          <w:rFonts w:hint="eastAsia" w:ascii="宋体" w:hAnsi="宋体"/>
          <w:color w:val="auto"/>
          <w:sz w:val="24"/>
          <w:highlight w:val="none"/>
        </w:rPr>
      </w:pPr>
      <w:r>
        <w:rPr>
          <w:rFonts w:hint="eastAsia" w:ascii="宋体" w:hAnsi="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7267EC1D">
      <w:pPr>
        <w:shd w:val="clear"/>
        <w:spacing w:line="360" w:lineRule="auto"/>
        <w:ind w:firstLine="480" w:firstLineChars="200"/>
        <w:contextualSpacing/>
        <w:rPr>
          <w:rFonts w:hint="eastAsia" w:ascii="宋体" w:hAnsi="宋体"/>
          <w:color w:val="auto"/>
          <w:sz w:val="24"/>
          <w:highlight w:val="none"/>
        </w:rPr>
      </w:pPr>
      <w:r>
        <w:rPr>
          <w:rFonts w:hint="eastAsia" w:ascii="宋体" w:hAnsi="宋体"/>
          <w:color w:val="auto"/>
          <w:sz w:val="24"/>
          <w:highlight w:val="none"/>
        </w:rPr>
        <w:t>2.我方在投标之前已经完全理解并接受招标文件的各项规定和要求，对招标文件的合理性、合法性不再有异议。</w:t>
      </w:r>
    </w:p>
    <w:p w14:paraId="7F1B856F">
      <w:pPr>
        <w:shd w:val="clear"/>
        <w:spacing w:line="360" w:lineRule="auto"/>
        <w:ind w:firstLine="480" w:firstLineChars="200"/>
        <w:contextualSpacing/>
        <w:rPr>
          <w:rFonts w:hint="eastAsia" w:ascii="宋体" w:hAnsi="宋体"/>
          <w:color w:val="auto"/>
          <w:sz w:val="24"/>
          <w:highlight w:val="none"/>
        </w:rPr>
      </w:pPr>
      <w:r>
        <w:rPr>
          <w:rFonts w:hint="eastAsia" w:ascii="宋体" w:hAnsi="宋体"/>
          <w:color w:val="auto"/>
          <w:sz w:val="24"/>
          <w:highlight w:val="none"/>
        </w:rPr>
        <w:t>3.本投标有效期自投标截止之日起</w:t>
      </w:r>
      <w:r>
        <w:rPr>
          <w:rFonts w:ascii="宋体" w:hAnsi="宋体"/>
          <w:color w:val="auto"/>
          <w:sz w:val="24"/>
          <w:highlight w:val="none"/>
          <w:u w:val="single"/>
        </w:rPr>
        <w:t xml:space="preserve"> 120</w:t>
      </w:r>
      <w:r>
        <w:rPr>
          <w:rFonts w:hint="eastAsia" w:ascii="宋体" w:hAnsi="宋体"/>
          <w:color w:val="auto"/>
          <w:sz w:val="24"/>
          <w:highlight w:val="none"/>
        </w:rPr>
        <w:t>日。</w:t>
      </w:r>
    </w:p>
    <w:p w14:paraId="22467C07">
      <w:pPr>
        <w:shd w:val="clear"/>
        <w:spacing w:line="360" w:lineRule="auto"/>
        <w:ind w:firstLine="480" w:firstLineChars="200"/>
        <w:contextualSpacing/>
        <w:rPr>
          <w:rFonts w:hint="eastAsia" w:ascii="宋体" w:hAnsi="宋体"/>
          <w:color w:val="auto"/>
          <w:sz w:val="24"/>
          <w:highlight w:val="none"/>
        </w:rPr>
      </w:pPr>
      <w:r>
        <w:rPr>
          <w:rFonts w:hint="eastAsia" w:ascii="宋体" w:hAnsi="宋体"/>
          <w:color w:val="auto"/>
          <w:sz w:val="24"/>
          <w:highlight w:val="none"/>
        </w:rPr>
        <w:t>4.如中标，本投标文件至本项目合同履行完毕止均保持有效，我方将按“招标文件”及政府采购法律、法规的规定履行合同责任和义务。</w:t>
      </w:r>
    </w:p>
    <w:p w14:paraId="68B71CA0">
      <w:pPr>
        <w:shd w:val="clear"/>
        <w:spacing w:line="360" w:lineRule="auto"/>
        <w:ind w:firstLine="480" w:firstLineChars="200"/>
        <w:contextualSpacing/>
        <w:rPr>
          <w:rFonts w:hint="eastAsia" w:ascii="宋体" w:hAnsi="宋体"/>
          <w:color w:val="auto"/>
          <w:sz w:val="24"/>
          <w:highlight w:val="none"/>
        </w:rPr>
      </w:pPr>
      <w:r>
        <w:rPr>
          <w:rFonts w:hint="eastAsia" w:ascii="宋体" w:hAnsi="宋体"/>
          <w:color w:val="auto"/>
          <w:sz w:val="24"/>
          <w:highlight w:val="none"/>
        </w:rPr>
        <w:t>5.我方同意按照贵方要求提供与投标有关的一切数据或者资料。</w:t>
      </w:r>
    </w:p>
    <w:p w14:paraId="4E393202">
      <w:pPr>
        <w:shd w:val="clear"/>
        <w:spacing w:line="360" w:lineRule="auto"/>
        <w:ind w:firstLine="480" w:firstLineChars="200"/>
        <w:contextualSpacing/>
        <w:rPr>
          <w:rFonts w:hint="eastAsia" w:ascii="宋体" w:hAnsi="宋体"/>
          <w:color w:val="auto"/>
          <w:sz w:val="24"/>
          <w:highlight w:val="none"/>
        </w:rPr>
      </w:pPr>
      <w:r>
        <w:rPr>
          <w:rFonts w:hint="eastAsia" w:ascii="宋体" w:hAnsi="宋体"/>
          <w:color w:val="auto"/>
          <w:sz w:val="24"/>
          <w:highlight w:val="none"/>
        </w:rPr>
        <w:t>6.我方向贵方提交的所有投标文件、资料都是准确的和真实的。</w:t>
      </w:r>
    </w:p>
    <w:p w14:paraId="0BAAACFA">
      <w:pPr>
        <w:shd w:val="clear"/>
        <w:spacing w:line="360" w:lineRule="auto"/>
        <w:ind w:firstLine="480" w:firstLineChars="200"/>
        <w:contextualSpacing/>
        <w:rPr>
          <w:rFonts w:hint="eastAsia" w:ascii="宋体" w:hAnsi="宋体"/>
          <w:color w:val="auto"/>
          <w:sz w:val="24"/>
          <w:highlight w:val="none"/>
        </w:rPr>
      </w:pPr>
      <w:r>
        <w:rPr>
          <w:rFonts w:hint="eastAsia" w:ascii="宋体" w:hAnsi="宋体"/>
          <w:color w:val="auto"/>
          <w:sz w:val="24"/>
          <w:highlight w:val="none"/>
        </w:rPr>
        <w:t>7.以上事项如有虚假或者隐瞒，我方愿意承担一切后果，并不再寻求任何旨在减轻或者免除法律责任的辩解。</w:t>
      </w:r>
    </w:p>
    <w:p w14:paraId="3C4606AB">
      <w:pPr>
        <w:shd w:val="clear"/>
        <w:spacing w:line="360" w:lineRule="auto"/>
        <w:ind w:firstLine="480" w:firstLineChars="200"/>
        <w:contextualSpacing/>
        <w:rPr>
          <w:rFonts w:hint="eastAsia" w:ascii="宋体" w:hAnsi="宋体"/>
          <w:color w:val="auto"/>
          <w:sz w:val="24"/>
          <w:highlight w:val="none"/>
        </w:rPr>
      </w:pPr>
      <w:r>
        <w:rPr>
          <w:rFonts w:hint="eastAsia" w:ascii="宋体" w:hAnsi="宋体"/>
          <w:color w:val="auto"/>
          <w:sz w:val="24"/>
          <w:highlight w:val="none"/>
        </w:rPr>
        <w:t>8.根据</w:t>
      </w:r>
      <w:r>
        <w:rPr>
          <w:rFonts w:ascii="宋体" w:hAnsi="宋体"/>
          <w:color w:val="auto"/>
          <w:sz w:val="24"/>
          <w:highlight w:val="none"/>
        </w:rPr>
        <w:t>《中华人民共和国政府采购法实施条例》第五十条要求对政府采购合同进行公告</w:t>
      </w:r>
      <w:r>
        <w:rPr>
          <w:rFonts w:hint="eastAsia" w:ascii="宋体" w:hAnsi="宋体"/>
          <w:color w:val="auto"/>
          <w:sz w:val="24"/>
          <w:highlight w:val="none"/>
        </w:rPr>
        <w:t>，</w:t>
      </w:r>
      <w:r>
        <w:rPr>
          <w:rFonts w:ascii="宋体" w:hAnsi="宋体"/>
          <w:color w:val="auto"/>
          <w:sz w:val="24"/>
          <w:highlight w:val="none"/>
        </w:rPr>
        <w:t>但政府采购合同中涉及国家秘密、商业秘密的内容除外。</w:t>
      </w:r>
      <w:r>
        <w:rPr>
          <w:rFonts w:hint="eastAsia" w:ascii="宋体" w:hAnsi="宋体"/>
          <w:color w:val="auto"/>
          <w:sz w:val="24"/>
          <w:highlight w:val="none"/>
        </w:rPr>
        <w:t>我方就对本次投标文件进行注明如下：（两项内容中必须选择一项）</w:t>
      </w:r>
    </w:p>
    <w:p w14:paraId="6C9EF8BB">
      <w:pPr>
        <w:shd w:val="clear"/>
        <w:spacing w:line="360" w:lineRule="auto"/>
        <w:ind w:firstLine="480" w:firstLineChars="200"/>
        <w:contextualSpacing/>
        <w:rPr>
          <w:rFonts w:hint="eastAsia"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kern w:val="0"/>
          <w:sz w:val="24"/>
          <w:highlight w:val="none"/>
        </w:rPr>
        <w:t>内容中</w:t>
      </w:r>
      <w:r>
        <w:rPr>
          <w:rFonts w:hint="eastAsia" w:ascii="宋体" w:hAnsi="宋体"/>
          <w:color w:val="auto"/>
          <w:sz w:val="24"/>
          <w:highlight w:val="none"/>
        </w:rPr>
        <w:t>未</w:t>
      </w:r>
      <w:r>
        <w:rPr>
          <w:rFonts w:ascii="宋体" w:hAnsi="宋体" w:cs="宋体"/>
          <w:color w:val="auto"/>
          <w:kern w:val="0"/>
          <w:sz w:val="24"/>
          <w:highlight w:val="none"/>
        </w:rPr>
        <w:t>涉及商业秘密</w:t>
      </w:r>
      <w:r>
        <w:rPr>
          <w:rFonts w:hint="eastAsia" w:ascii="宋体" w:hAnsi="宋体" w:cs="宋体"/>
          <w:color w:val="auto"/>
          <w:kern w:val="0"/>
          <w:sz w:val="24"/>
          <w:highlight w:val="none"/>
        </w:rPr>
        <w:t>；</w:t>
      </w:r>
    </w:p>
    <w:p w14:paraId="4A2F454E">
      <w:pPr>
        <w:shd w:val="clear"/>
        <w:spacing w:line="360" w:lineRule="auto"/>
        <w:ind w:firstLine="480" w:firstLineChars="200"/>
        <w:contextualSpacing/>
        <w:rPr>
          <w:rFonts w:hint="eastAsia"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kern w:val="0"/>
          <w:sz w:val="24"/>
          <w:highlight w:val="none"/>
        </w:rPr>
        <w:t>涉及商业秘密</w:t>
      </w:r>
      <w:r>
        <w:rPr>
          <w:rFonts w:hint="eastAsia" w:ascii="宋体" w:hAnsi="宋体" w:cs="宋体"/>
          <w:color w:val="auto"/>
          <w:kern w:val="0"/>
          <w:sz w:val="24"/>
          <w:highlight w:val="none"/>
        </w:rPr>
        <w:t>的</w:t>
      </w:r>
      <w:r>
        <w:rPr>
          <w:rFonts w:ascii="宋体" w:hAnsi="宋体" w:cs="宋体"/>
          <w:color w:val="auto"/>
          <w:kern w:val="0"/>
          <w:sz w:val="24"/>
          <w:highlight w:val="none"/>
        </w:rPr>
        <w:t>内容</w:t>
      </w:r>
      <w:r>
        <w:rPr>
          <w:rFonts w:hint="eastAsia" w:ascii="宋体" w:hAnsi="宋体" w:cs="宋体"/>
          <w:color w:val="auto"/>
          <w:kern w:val="0"/>
          <w:sz w:val="24"/>
          <w:highlight w:val="none"/>
        </w:rPr>
        <w:t>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1A11F21B">
      <w:pPr>
        <w:shd w:val="clear"/>
        <w:spacing w:line="360" w:lineRule="auto"/>
        <w:ind w:firstLine="480" w:firstLineChars="200"/>
        <w:contextualSpacing/>
        <w:rPr>
          <w:rFonts w:hint="eastAsia" w:ascii="宋体" w:hAnsi="宋体"/>
          <w:color w:val="auto"/>
          <w:sz w:val="24"/>
          <w:highlight w:val="none"/>
        </w:rPr>
      </w:pPr>
      <w:r>
        <w:rPr>
          <w:rFonts w:hint="eastAsia" w:ascii="宋体" w:hAnsi="宋体"/>
          <w:color w:val="auto"/>
          <w:sz w:val="24"/>
          <w:highlight w:val="none"/>
        </w:rPr>
        <w:t>9.与本投标有关的一切正式往来信函请寄：</w:t>
      </w:r>
    </w:p>
    <w:p w14:paraId="1E7081AB">
      <w:pPr>
        <w:shd w:val="clear"/>
        <w:spacing w:line="360" w:lineRule="auto"/>
        <w:ind w:firstLine="480" w:firstLineChars="200"/>
        <w:contextualSpacing/>
        <w:rPr>
          <w:rFonts w:hint="eastAsia" w:ascii="宋体" w:hAnsi="宋体"/>
          <w:color w:val="auto"/>
          <w:sz w:val="24"/>
          <w:highlight w:val="none"/>
          <w:u w:val="single"/>
        </w:rPr>
      </w:pPr>
      <w:r>
        <w:rPr>
          <w:rFonts w:hint="eastAsia" w:ascii="宋体" w:hAnsi="宋体"/>
          <w:color w:val="auto"/>
          <w:sz w:val="24"/>
          <w:highlight w:val="none"/>
        </w:rPr>
        <w:t>地址：</w:t>
      </w:r>
      <w:r>
        <w:rPr>
          <w:rFonts w:hint="eastAsia" w:ascii="宋体" w:hAnsi="宋体"/>
          <w:color w:val="auto"/>
          <w:sz w:val="24"/>
          <w:highlight w:val="none"/>
          <w:u w:val="single"/>
        </w:rPr>
        <w:t xml:space="preserve">          </w:t>
      </w:r>
      <w:r>
        <w:rPr>
          <w:rFonts w:hint="eastAsia" w:ascii="宋体" w:hAnsi="宋体"/>
          <w:color w:val="auto"/>
          <w:sz w:val="24"/>
          <w:highlight w:val="none"/>
        </w:rPr>
        <w:t>邮编：</w:t>
      </w:r>
      <w:r>
        <w:rPr>
          <w:rFonts w:hint="eastAsia" w:ascii="宋体" w:hAnsi="宋体"/>
          <w:color w:val="auto"/>
          <w:sz w:val="24"/>
          <w:highlight w:val="none"/>
          <w:u w:val="single"/>
        </w:rPr>
        <w:t xml:space="preserve">            </w:t>
      </w:r>
    </w:p>
    <w:p w14:paraId="1EDF7E9E">
      <w:pPr>
        <w:shd w:val="clear"/>
        <w:spacing w:line="360" w:lineRule="auto"/>
        <w:ind w:firstLine="480" w:firstLineChars="200"/>
        <w:contextualSpacing/>
        <w:rPr>
          <w:rFonts w:hint="eastAsia" w:ascii="宋体" w:hAnsi="宋体"/>
          <w:color w:val="auto"/>
          <w:sz w:val="24"/>
          <w:highlight w:val="none"/>
        </w:rPr>
      </w:pPr>
      <w:r>
        <w:rPr>
          <w:rFonts w:hint="eastAsia" w:ascii="宋体" w:hAnsi="宋体"/>
          <w:color w:val="auto"/>
          <w:sz w:val="24"/>
          <w:highlight w:val="none"/>
        </w:rPr>
        <w:t>电话：</w:t>
      </w:r>
      <w:r>
        <w:rPr>
          <w:rFonts w:hint="eastAsia" w:ascii="宋体" w:hAnsi="宋体"/>
          <w:color w:val="auto"/>
          <w:sz w:val="24"/>
          <w:highlight w:val="none"/>
          <w:u w:val="single"/>
        </w:rPr>
        <w:t xml:space="preserve">        </w:t>
      </w:r>
      <w:r>
        <w:rPr>
          <w:rFonts w:hint="eastAsia" w:ascii="宋体" w:hAnsi="宋体"/>
          <w:color w:val="auto"/>
          <w:sz w:val="24"/>
          <w:highlight w:val="none"/>
        </w:rPr>
        <w:t>传真：</w:t>
      </w:r>
      <w:r>
        <w:rPr>
          <w:rFonts w:hint="eastAsia" w:ascii="宋体" w:hAnsi="宋体"/>
          <w:color w:val="auto"/>
          <w:sz w:val="24"/>
          <w:highlight w:val="none"/>
          <w:u w:val="single"/>
        </w:rPr>
        <w:t xml:space="preserve">          </w:t>
      </w:r>
    </w:p>
    <w:p w14:paraId="6AB0A3E5">
      <w:pPr>
        <w:shd w:val="clear"/>
        <w:spacing w:line="360" w:lineRule="auto"/>
        <w:ind w:firstLine="480" w:firstLineChars="200"/>
        <w:contextualSpacing/>
        <w:rPr>
          <w:rFonts w:hint="eastAsia"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p>
    <w:p w14:paraId="06A25B61">
      <w:pPr>
        <w:shd w:val="clea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开户银行：</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银行</w:t>
      </w:r>
      <w:r>
        <w:rPr>
          <w:rFonts w:hint="eastAsia" w:ascii="宋体" w:hAnsi="宋体"/>
          <w:color w:val="auto"/>
          <w:sz w:val="24"/>
          <w:highlight w:val="none"/>
          <w:lang w:val="en-US" w:eastAsia="zh-CN"/>
        </w:rPr>
        <w:t>账</w:t>
      </w:r>
      <w:r>
        <w:rPr>
          <w:rFonts w:hint="eastAsia" w:ascii="宋体" w:hAnsi="宋体"/>
          <w:color w:val="auto"/>
          <w:sz w:val="24"/>
          <w:highlight w:val="none"/>
        </w:rPr>
        <w:t>号：</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5723CAC2">
      <w:pPr>
        <w:shd w:val="clea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法定代表人或者委托代理人签字:___________ </w:t>
      </w:r>
    </w:p>
    <w:p w14:paraId="210DC883">
      <w:pPr>
        <w:pStyle w:val="26"/>
        <w:shd w:val="clear"/>
        <w:spacing w:line="360" w:lineRule="auto"/>
        <w:contextualSpacing/>
        <w:jc w:val="center"/>
        <w:rPr>
          <w:rFonts w:hint="eastAsia" w:hAnsi="宋体"/>
          <w:color w:val="auto"/>
          <w:sz w:val="24"/>
          <w:szCs w:val="24"/>
          <w:highlight w:val="none"/>
          <w:u w:val="single"/>
        </w:rPr>
      </w:pPr>
      <w:r>
        <w:rPr>
          <w:rFonts w:hint="eastAsia" w:hAnsi="宋体"/>
          <w:color w:val="auto"/>
          <w:sz w:val="24"/>
          <w:highlight w:val="none"/>
        </w:rPr>
        <w:t xml:space="preserve"> </w:t>
      </w:r>
      <w:r>
        <w:rPr>
          <w:rFonts w:hAnsi="宋体"/>
          <w:color w:val="auto"/>
          <w:sz w:val="24"/>
          <w:highlight w:val="none"/>
        </w:rPr>
        <w:t xml:space="preserve">                                   </w:t>
      </w:r>
      <w:r>
        <w:rPr>
          <w:rFonts w:hint="eastAsia" w:hAnsi="宋体"/>
          <w:color w:val="auto"/>
          <w:sz w:val="24"/>
          <w:highlight w:val="none"/>
        </w:rPr>
        <w:t>投标人（盖</w:t>
      </w:r>
      <w:r>
        <w:rPr>
          <w:rFonts w:hint="eastAsia" w:hAnsi="宋体"/>
          <w:color w:val="auto"/>
          <w:sz w:val="24"/>
          <w:highlight w:val="none"/>
          <w:lang w:val="en-US" w:eastAsia="zh-CN"/>
        </w:rPr>
        <w:t>实物公章或电子公章</w:t>
      </w:r>
      <w:r>
        <w:rPr>
          <w:rFonts w:hint="eastAsia" w:hAnsi="宋体"/>
          <w:color w:val="auto"/>
          <w:sz w:val="24"/>
          <w:highlight w:val="none"/>
        </w:rPr>
        <w:t>）：</w:t>
      </w:r>
    </w:p>
    <w:p w14:paraId="1D4E718A">
      <w:pPr>
        <w:pStyle w:val="26"/>
        <w:shd w:val="clear"/>
        <w:spacing w:line="360" w:lineRule="auto"/>
        <w:contextualSpacing/>
        <w:rPr>
          <w:rFonts w:hint="eastAsia" w:hAnsi="宋体"/>
          <w:color w:val="auto"/>
          <w:sz w:val="24"/>
          <w:highlight w:val="none"/>
        </w:rPr>
      </w:pPr>
      <w:r>
        <w:rPr>
          <w:rFonts w:hint="eastAsia" w:hAnsi="宋体"/>
          <w:color w:val="auto"/>
          <w:sz w:val="24"/>
          <w:szCs w:val="24"/>
          <w:highlight w:val="non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392F13A6">
      <w:pPr>
        <w:shd w:val="clear"/>
        <w:snapToGrid w:val="0"/>
        <w:spacing w:before="120" w:beforeLines="50" w:after="50"/>
        <w:jc w:val="left"/>
        <w:rPr>
          <w:rFonts w:hint="eastAsia" w:ascii="宋体" w:hAnsi="宋体"/>
          <w:b/>
          <w:color w:val="auto"/>
          <w:sz w:val="24"/>
          <w:szCs w:val="20"/>
          <w:highlight w:val="none"/>
        </w:rPr>
      </w:pPr>
      <w:r>
        <w:rPr>
          <w:rFonts w:hAnsi="宋体"/>
          <w:color w:val="auto"/>
          <w:highlight w:val="none"/>
          <w:u w:val="single"/>
        </w:rPr>
        <w:br w:type="page"/>
      </w:r>
      <w:r>
        <w:rPr>
          <w:rFonts w:hint="eastAsia" w:ascii="宋体" w:hAnsi="宋体"/>
          <w:b/>
          <w:color w:val="auto"/>
          <w:sz w:val="24"/>
          <w:highlight w:val="none"/>
        </w:rPr>
        <w:t>4. 开标一览表（服务类格式）</w:t>
      </w:r>
    </w:p>
    <w:p w14:paraId="6FFB833E">
      <w:pPr>
        <w:shd w:val="clear"/>
        <w:snapToGrid w:val="0"/>
        <w:spacing w:before="50" w:after="50"/>
        <w:jc w:val="center"/>
        <w:rPr>
          <w:rFonts w:hint="eastAsia" w:ascii="宋体" w:hAnsi="宋体"/>
          <w:b/>
          <w:color w:val="auto"/>
          <w:sz w:val="30"/>
          <w:highlight w:val="none"/>
        </w:rPr>
      </w:pPr>
      <w:r>
        <w:rPr>
          <w:rFonts w:hint="eastAsia" w:ascii="宋体" w:hAnsi="宋体"/>
          <w:b/>
          <w:color w:val="auto"/>
          <w:sz w:val="30"/>
          <w:highlight w:val="none"/>
        </w:rPr>
        <w:t>开标一览表</w:t>
      </w:r>
    </w:p>
    <w:p w14:paraId="30DDD197">
      <w:pPr>
        <w:shd w:val="clear"/>
        <w:snapToGrid w:val="0"/>
        <w:spacing w:before="50" w:after="50"/>
        <w:jc w:val="center"/>
        <w:rPr>
          <w:rFonts w:hint="eastAsia" w:ascii="宋体" w:hAnsi="宋体"/>
          <w:b/>
          <w:color w:val="auto"/>
          <w:sz w:val="30"/>
          <w:szCs w:val="20"/>
          <w:highlight w:val="none"/>
        </w:rPr>
      </w:pPr>
    </w:p>
    <w:p w14:paraId="60569180">
      <w:pPr>
        <w:shd w:val="clear"/>
        <w:snapToGrid w:val="0"/>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分标：</w:t>
      </w:r>
      <w:r>
        <w:rPr>
          <w:rFonts w:hint="eastAsia" w:ascii="宋体" w:hAnsi="宋体"/>
          <w:color w:val="auto"/>
          <w:sz w:val="24"/>
          <w:highlight w:val="none"/>
          <w:u w:val="single"/>
        </w:rPr>
        <w:t xml:space="preserve">           </w:t>
      </w:r>
    </w:p>
    <w:p w14:paraId="195A4A25">
      <w:pPr>
        <w:shd w:val="clear"/>
        <w:snapToGrid w:val="0"/>
        <w:spacing w:before="50" w:after="50" w:line="360" w:lineRule="auto"/>
        <w:rPr>
          <w:rFonts w:hint="eastAsia"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计价单位：人民币</w:t>
      </w:r>
    </w:p>
    <w:tbl>
      <w:tblPr>
        <w:tblStyle w:val="48"/>
        <w:tblW w:w="4995"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17"/>
        <w:gridCol w:w="2563"/>
        <w:gridCol w:w="1561"/>
        <w:gridCol w:w="3328"/>
        <w:gridCol w:w="1883"/>
      </w:tblGrid>
      <w:tr w14:paraId="2A9A6B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0" w:hRule="atLeast"/>
          <w:jc w:val="center"/>
        </w:trPr>
        <w:tc>
          <w:tcPr>
            <w:tcW w:w="310" w:type="pct"/>
            <w:tcBorders>
              <w:top w:val="single" w:color="auto" w:sz="4" w:space="0"/>
              <w:left w:val="single" w:color="auto" w:sz="4" w:space="0"/>
              <w:bottom w:val="single" w:color="auto" w:sz="4" w:space="0"/>
              <w:right w:val="single" w:color="auto" w:sz="4" w:space="0"/>
            </w:tcBorders>
            <w:vAlign w:val="center"/>
          </w:tcPr>
          <w:p w14:paraId="23F00966">
            <w:pPr>
              <w:shd w:val="clear"/>
              <w:snapToGrid w:val="0"/>
              <w:spacing w:before="50" w:after="50"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1287" w:type="pct"/>
            <w:tcBorders>
              <w:top w:val="single" w:color="auto" w:sz="4" w:space="0"/>
              <w:left w:val="single" w:color="auto" w:sz="4" w:space="0"/>
              <w:bottom w:val="single" w:color="auto" w:sz="4" w:space="0"/>
              <w:right w:val="single" w:color="auto" w:sz="4" w:space="0"/>
            </w:tcBorders>
            <w:vAlign w:val="center"/>
          </w:tcPr>
          <w:p w14:paraId="6FF257C5">
            <w:pPr>
              <w:shd w:val="clear"/>
              <w:snapToGrid w:val="0"/>
              <w:spacing w:before="50" w:after="50"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标的名称</w:t>
            </w:r>
          </w:p>
        </w:tc>
        <w:tc>
          <w:tcPr>
            <w:tcW w:w="784" w:type="pct"/>
            <w:tcBorders>
              <w:top w:val="single" w:color="auto" w:sz="4" w:space="0"/>
              <w:left w:val="single" w:color="auto" w:sz="4" w:space="0"/>
              <w:bottom w:val="single" w:color="auto" w:sz="4" w:space="0"/>
              <w:right w:val="single" w:color="auto" w:sz="4" w:space="0"/>
            </w:tcBorders>
            <w:vAlign w:val="center"/>
          </w:tcPr>
          <w:p w14:paraId="7F22D2AD">
            <w:pPr>
              <w:shd w:val="clear"/>
              <w:snapToGrid w:val="0"/>
              <w:spacing w:before="50" w:after="50"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数量及单位</w:t>
            </w:r>
          </w:p>
        </w:tc>
        <w:tc>
          <w:tcPr>
            <w:tcW w:w="1671" w:type="pct"/>
            <w:tcBorders>
              <w:top w:val="single" w:color="auto" w:sz="4" w:space="0"/>
              <w:left w:val="single" w:color="auto" w:sz="4" w:space="0"/>
              <w:bottom w:val="single" w:color="auto" w:sz="4" w:space="0"/>
              <w:right w:val="single" w:color="auto" w:sz="4" w:space="0"/>
            </w:tcBorders>
            <w:vAlign w:val="center"/>
          </w:tcPr>
          <w:p w14:paraId="6B862EE8">
            <w:pPr>
              <w:shd w:val="clear"/>
              <w:snapToGrid w:val="0"/>
              <w:spacing w:before="50" w:after="50"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下浮系数（%）</w:t>
            </w:r>
          </w:p>
        </w:tc>
        <w:tc>
          <w:tcPr>
            <w:tcW w:w="945" w:type="pct"/>
            <w:tcBorders>
              <w:top w:val="single" w:color="auto" w:sz="4" w:space="0"/>
              <w:left w:val="single" w:color="auto" w:sz="4" w:space="0"/>
              <w:bottom w:val="single" w:color="auto" w:sz="4" w:space="0"/>
              <w:right w:val="single" w:color="auto" w:sz="4" w:space="0"/>
            </w:tcBorders>
            <w:vAlign w:val="center"/>
          </w:tcPr>
          <w:p w14:paraId="22035BE2">
            <w:pPr>
              <w:shd w:val="clear"/>
              <w:snapToGrid w:val="0"/>
              <w:spacing w:before="50" w:after="50"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备注</w:t>
            </w:r>
          </w:p>
        </w:tc>
      </w:tr>
      <w:tr w14:paraId="4C37F6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01" w:hRule="atLeast"/>
          <w:jc w:val="center"/>
        </w:trPr>
        <w:tc>
          <w:tcPr>
            <w:tcW w:w="310" w:type="pct"/>
            <w:tcBorders>
              <w:top w:val="single" w:color="auto" w:sz="4" w:space="0"/>
              <w:left w:val="single" w:color="auto" w:sz="4" w:space="0"/>
              <w:bottom w:val="single" w:color="auto" w:sz="4" w:space="0"/>
              <w:right w:val="single" w:color="auto" w:sz="4" w:space="0"/>
            </w:tcBorders>
            <w:vAlign w:val="center"/>
          </w:tcPr>
          <w:p w14:paraId="2252B127">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rPr>
              <w:t>1</w:t>
            </w:r>
          </w:p>
        </w:tc>
        <w:tc>
          <w:tcPr>
            <w:tcW w:w="1287" w:type="pct"/>
            <w:tcBorders>
              <w:top w:val="single" w:color="auto" w:sz="4" w:space="0"/>
              <w:left w:val="single" w:color="auto" w:sz="4" w:space="0"/>
              <w:bottom w:val="single" w:color="auto" w:sz="4" w:space="0"/>
              <w:right w:val="single" w:color="auto" w:sz="4" w:space="0"/>
            </w:tcBorders>
            <w:vAlign w:val="center"/>
          </w:tcPr>
          <w:p w14:paraId="3342638D">
            <w:pPr>
              <w:shd w:val="clea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lang w:eastAsia="zh-CN"/>
              </w:rPr>
              <w:t>广西医科大学附属武鸣医院被服、布草洗涤服务</w:t>
            </w:r>
            <w:bookmarkStart w:id="171" w:name="_GoBack"/>
            <w:bookmarkEnd w:id="171"/>
          </w:p>
        </w:tc>
        <w:tc>
          <w:tcPr>
            <w:tcW w:w="784" w:type="pct"/>
            <w:tcBorders>
              <w:top w:val="single" w:color="auto" w:sz="4" w:space="0"/>
              <w:left w:val="single" w:color="auto" w:sz="4" w:space="0"/>
              <w:bottom w:val="single" w:color="auto" w:sz="4" w:space="0"/>
              <w:right w:val="single" w:color="auto" w:sz="4" w:space="0"/>
            </w:tcBorders>
            <w:vAlign w:val="center"/>
          </w:tcPr>
          <w:p w14:paraId="111E70B4">
            <w:pPr>
              <w:widowControl/>
              <w:shd w:val="clear"/>
              <w:kinsoku w:val="0"/>
              <w:autoSpaceDE w:val="0"/>
              <w:autoSpaceDN w:val="0"/>
              <w:adjustRightInd w:val="0"/>
              <w:spacing w:line="360" w:lineRule="auto"/>
              <w:jc w:val="center"/>
              <w:textAlignment w:val="baseline"/>
              <w:rPr>
                <w:rFonts w:hint="eastAsia" w:ascii="宋体" w:hAnsi="宋体" w:cs="宋体"/>
                <w:snapToGrid w:val="0"/>
                <w:color w:val="auto"/>
                <w:kern w:val="0"/>
                <w:szCs w:val="21"/>
                <w:highlight w:val="none"/>
              </w:rPr>
            </w:pPr>
            <w:r>
              <w:rPr>
                <w:rFonts w:ascii="宋体" w:hAnsi="宋体" w:cs="宋体"/>
                <w:snapToGrid w:val="0"/>
                <w:color w:val="auto"/>
                <w:kern w:val="0"/>
                <w:szCs w:val="21"/>
                <w:highlight w:val="none"/>
              </w:rPr>
              <w:t>1项</w:t>
            </w:r>
          </w:p>
        </w:tc>
        <w:tc>
          <w:tcPr>
            <w:tcW w:w="1671" w:type="pct"/>
            <w:tcBorders>
              <w:top w:val="single" w:color="auto" w:sz="4" w:space="0"/>
              <w:left w:val="single" w:color="auto" w:sz="4" w:space="0"/>
              <w:bottom w:val="single" w:color="auto" w:sz="4" w:space="0"/>
              <w:right w:val="single" w:color="auto" w:sz="4" w:space="0"/>
            </w:tcBorders>
            <w:vAlign w:val="center"/>
          </w:tcPr>
          <w:p w14:paraId="5B394ED5">
            <w:pPr>
              <w:keepNext/>
              <w:keepLines/>
              <w:pageBreakBefore/>
              <w:widowControl/>
              <w:shd w:val="clear"/>
              <w:wordWrap w:val="0"/>
              <w:snapToGrid w:val="0"/>
              <w:spacing w:before="50" w:after="50"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val="en-US" w:eastAsia="zh-CN"/>
              </w:rPr>
              <w:t>%</w:t>
            </w:r>
          </w:p>
        </w:tc>
        <w:tc>
          <w:tcPr>
            <w:tcW w:w="945" w:type="pct"/>
            <w:tcBorders>
              <w:top w:val="single" w:color="auto" w:sz="4" w:space="0"/>
              <w:left w:val="single" w:color="auto" w:sz="4" w:space="0"/>
              <w:bottom w:val="single" w:color="auto" w:sz="4" w:space="0"/>
              <w:right w:val="single" w:color="auto" w:sz="4" w:space="0"/>
            </w:tcBorders>
            <w:vAlign w:val="center"/>
          </w:tcPr>
          <w:p w14:paraId="3034FF80">
            <w:pPr>
              <w:shd w:val="clear"/>
              <w:snapToGrid w:val="0"/>
              <w:spacing w:before="50" w:after="50" w:line="360" w:lineRule="auto"/>
              <w:rPr>
                <w:rFonts w:hint="eastAsia" w:ascii="宋体" w:hAnsi="宋体" w:cs="宋体"/>
                <w:color w:val="auto"/>
                <w:szCs w:val="21"/>
                <w:highlight w:val="none"/>
              </w:rPr>
            </w:pPr>
          </w:p>
        </w:tc>
      </w:tr>
    </w:tbl>
    <w:p w14:paraId="53CD1805">
      <w:pPr>
        <w:shd w:val="clear"/>
        <w:snapToGrid w:val="0"/>
        <w:spacing w:before="50" w:after="50" w:line="360" w:lineRule="auto"/>
        <w:jc w:val="left"/>
        <w:rPr>
          <w:rFonts w:hint="eastAsia" w:ascii="宋体" w:hAnsi="宋体"/>
          <w:color w:val="auto"/>
          <w:sz w:val="24"/>
          <w:highlight w:val="none"/>
        </w:rPr>
      </w:pPr>
      <w:r>
        <w:rPr>
          <w:rFonts w:hint="eastAsia" w:ascii="宋体" w:hAnsi="宋体"/>
          <w:color w:val="auto"/>
          <w:sz w:val="24"/>
          <w:highlight w:val="none"/>
        </w:rPr>
        <w:t xml:space="preserve">注: </w:t>
      </w:r>
    </w:p>
    <w:p w14:paraId="4B1CB18B">
      <w:pPr>
        <w:shd w:val="clear"/>
        <w:snapToGrid w:val="0"/>
        <w:spacing w:before="50" w:after="50"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1.投标人的开标一览表必须加盖投标人公章并由法定代表人或者委托代理人签字，否则其投标作无效标处理。</w:t>
      </w:r>
    </w:p>
    <w:p w14:paraId="74EF6374">
      <w:pPr>
        <w:shd w:val="clear"/>
        <w:snapToGrid w:val="0"/>
        <w:spacing w:before="50" w:after="50"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2.报价一经涂改，应在涂改处加盖投标人公章或者由法定代表人或者委托代理人签字或者盖章，否则其投标作无效标处理。</w:t>
      </w:r>
    </w:p>
    <w:p w14:paraId="4A63AEDC">
      <w:pPr>
        <w:shd w:val="clear"/>
        <w:snapToGrid w:val="0"/>
        <w:spacing w:before="50" w:after="50"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3.如有多分标，按分标分别提供开标一览表，否则投标无效。</w:t>
      </w:r>
    </w:p>
    <w:p w14:paraId="179D5A52">
      <w:pPr>
        <w:pStyle w:val="2"/>
        <w:rPr>
          <w:rFonts w:hint="default" w:eastAsia="宋体"/>
          <w:b w:val="0"/>
          <w:bCs/>
          <w:color w:val="auto"/>
          <w:highlight w:val="yellow"/>
          <w:lang w:val="en-US" w:eastAsia="zh-CN"/>
        </w:rPr>
      </w:pPr>
    </w:p>
    <w:p w14:paraId="063138BE">
      <w:pPr>
        <w:shd w:val="clear"/>
        <w:snapToGrid w:val="0"/>
        <w:spacing w:before="50" w:after="50" w:line="360" w:lineRule="auto"/>
        <w:ind w:left="-2" w:leftChars="-1" w:right="-817" w:rightChars="-389"/>
        <w:rPr>
          <w:rFonts w:hint="eastAsia" w:ascii="宋体" w:hAnsi="宋体"/>
          <w:color w:val="auto"/>
          <w:sz w:val="24"/>
          <w:highlight w:val="none"/>
        </w:rPr>
      </w:pPr>
    </w:p>
    <w:p w14:paraId="15BE9F9C">
      <w:pPr>
        <w:shd w:val="clear"/>
        <w:snapToGrid w:val="0"/>
        <w:spacing w:before="50" w:after="50" w:line="360" w:lineRule="auto"/>
        <w:ind w:left="-2" w:leftChars="-1" w:right="-817" w:rightChars="-389"/>
        <w:rPr>
          <w:rFonts w:hint="eastAsia" w:ascii="宋体" w:hAnsi="宋体"/>
          <w:color w:val="auto"/>
          <w:sz w:val="24"/>
          <w:highlight w:val="none"/>
        </w:rPr>
      </w:pPr>
      <w:r>
        <w:rPr>
          <w:rFonts w:hint="eastAsia" w:ascii="宋体" w:hAnsi="宋体"/>
          <w:color w:val="auto"/>
          <w:sz w:val="24"/>
          <w:highlight w:val="none"/>
        </w:rPr>
        <w:t xml:space="preserve">法定代表人或者委托代理人（签字）：                    </w:t>
      </w:r>
    </w:p>
    <w:p w14:paraId="076B4D52">
      <w:pPr>
        <w:shd w:val="clear"/>
        <w:snapToGrid w:val="0"/>
        <w:spacing w:before="50" w:after="50" w:line="360" w:lineRule="auto"/>
        <w:ind w:left="-3" w:leftChars="-15" w:right="-817" w:rightChars="-389" w:hanging="28" w:hangingChars="12"/>
        <w:rPr>
          <w:rFonts w:hint="eastAsia" w:ascii="宋体" w:hAnsi="宋体"/>
          <w:color w:val="auto"/>
          <w:sz w:val="24"/>
          <w:highlight w:val="none"/>
        </w:rPr>
      </w:pPr>
      <w:r>
        <w:rPr>
          <w:rFonts w:hint="eastAsia" w:ascii="宋体" w:hAnsi="宋体"/>
          <w:color w:val="auto"/>
          <w:sz w:val="24"/>
          <w:highlight w:val="none"/>
        </w:rPr>
        <w:t>投标人（盖</w:t>
      </w:r>
      <w:r>
        <w:rPr>
          <w:rFonts w:hint="eastAsia" w:ascii="宋体" w:hAnsi="宋体"/>
          <w:color w:val="auto"/>
          <w:sz w:val="24"/>
          <w:highlight w:val="none"/>
          <w:lang w:val="en-US" w:eastAsia="zh-CN"/>
        </w:rPr>
        <w:t>公章</w:t>
      </w:r>
      <w:r>
        <w:rPr>
          <w:rFonts w:hint="eastAsia" w:ascii="宋体" w:hAnsi="宋体"/>
          <w:color w:val="auto"/>
          <w:sz w:val="24"/>
          <w:highlight w:val="none"/>
        </w:rPr>
        <w:t>）：                                 日期：    年   月   日</w:t>
      </w:r>
    </w:p>
    <w:p w14:paraId="5BED8C0C">
      <w:pPr>
        <w:shd w:val="clear"/>
        <w:rPr>
          <w:rFonts w:hint="eastAsia" w:ascii="宋体" w:hAnsi="宋体"/>
          <w:color w:val="auto"/>
          <w:sz w:val="24"/>
          <w:highlight w:val="none"/>
        </w:rPr>
      </w:pPr>
      <w:r>
        <w:rPr>
          <w:rFonts w:ascii="宋体" w:hAnsi="宋体"/>
          <w:color w:val="auto"/>
          <w:sz w:val="24"/>
          <w:highlight w:val="none"/>
        </w:rPr>
        <w:br w:type="page"/>
      </w:r>
    </w:p>
    <w:p w14:paraId="2CF9D33D">
      <w:pPr>
        <w:shd w:val="clear"/>
        <w:snapToGrid w:val="0"/>
        <w:spacing w:before="120" w:beforeLines="50" w:after="50"/>
        <w:jc w:val="left"/>
        <w:rPr>
          <w:rFonts w:hint="eastAsia" w:ascii="宋体" w:hAnsi="宋体"/>
          <w:b/>
          <w:color w:val="auto"/>
          <w:sz w:val="24"/>
          <w:szCs w:val="20"/>
          <w:highlight w:val="none"/>
        </w:rPr>
      </w:pPr>
      <w:r>
        <w:rPr>
          <w:rFonts w:hint="eastAsia" w:ascii="宋体" w:hAnsi="宋体"/>
          <w:b/>
          <w:color w:val="auto"/>
          <w:sz w:val="24"/>
          <w:highlight w:val="none"/>
        </w:rPr>
        <w:t>5. 投标报价明细表（格式）</w:t>
      </w:r>
    </w:p>
    <w:p w14:paraId="61EB4EE3">
      <w:pPr>
        <w:shd w:val="clear"/>
        <w:snapToGrid w:val="0"/>
        <w:spacing w:before="50" w:after="50"/>
        <w:jc w:val="center"/>
        <w:rPr>
          <w:rFonts w:hint="eastAsia" w:ascii="宋体" w:hAnsi="宋体"/>
          <w:b/>
          <w:color w:val="auto"/>
          <w:sz w:val="30"/>
          <w:highlight w:val="none"/>
        </w:rPr>
      </w:pPr>
      <w:r>
        <w:rPr>
          <w:rFonts w:hint="eastAsia" w:ascii="宋体" w:hAnsi="宋体"/>
          <w:b/>
          <w:color w:val="auto"/>
          <w:sz w:val="30"/>
          <w:highlight w:val="none"/>
        </w:rPr>
        <w:t>投标报价明细表</w:t>
      </w:r>
    </w:p>
    <w:p w14:paraId="02BA956F">
      <w:pPr>
        <w:pStyle w:val="34"/>
        <w:shd w:val="clear"/>
        <w:ind w:firstLine="241"/>
        <w:rPr>
          <w:rFonts w:hint="eastAsia"/>
          <w:color w:val="auto"/>
          <w:highlight w:val="none"/>
        </w:rPr>
      </w:pPr>
    </w:p>
    <w:p w14:paraId="48991E0A">
      <w:pPr>
        <w:shd w:val="clear"/>
        <w:snapToGrid w:val="0"/>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分标：</w:t>
      </w:r>
      <w:r>
        <w:rPr>
          <w:rFonts w:hint="eastAsia" w:ascii="宋体" w:hAnsi="宋体"/>
          <w:color w:val="auto"/>
          <w:sz w:val="24"/>
          <w:highlight w:val="none"/>
          <w:u w:val="single"/>
        </w:rPr>
        <w:t xml:space="preserve">           </w:t>
      </w:r>
    </w:p>
    <w:p w14:paraId="62838CF1">
      <w:pPr>
        <w:shd w:val="clear"/>
        <w:snapToGrid w:val="0"/>
        <w:spacing w:before="50" w:after="50" w:line="360" w:lineRule="auto"/>
        <w:rPr>
          <w:rFonts w:hint="eastAsia"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计价单位：人民币</w:t>
      </w:r>
    </w:p>
    <w:p w14:paraId="78C21537">
      <w:pPr>
        <w:pStyle w:val="2"/>
        <w:rPr>
          <w:rFonts w:hint="eastAsia" w:ascii="宋体" w:hAnsi="宋体"/>
          <w:color w:val="auto"/>
          <w:sz w:val="24"/>
          <w:highlight w:val="none"/>
        </w:rPr>
      </w:pPr>
    </w:p>
    <w:tbl>
      <w:tblPr>
        <w:tblStyle w:val="48"/>
        <w:tblW w:w="412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3"/>
        <w:gridCol w:w="1991"/>
        <w:gridCol w:w="1861"/>
        <w:gridCol w:w="828"/>
        <w:gridCol w:w="1597"/>
        <w:gridCol w:w="1198"/>
      </w:tblGrid>
      <w:tr w14:paraId="71B6E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28819875">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序号</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470495F0">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名称</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4A31226B">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规格</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7930CBF1">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单位</w:t>
            </w:r>
          </w:p>
        </w:tc>
        <w:tc>
          <w:tcPr>
            <w:tcW w:w="9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88B7AE">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上控单价(元）</w:t>
            </w:r>
          </w:p>
        </w:tc>
        <w:tc>
          <w:tcPr>
            <w:tcW w:w="72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F650B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投标单价（元）</w:t>
            </w:r>
          </w:p>
        </w:tc>
      </w:tr>
      <w:tr w14:paraId="0674D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30A0A93B">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07C9345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床隔帘2.2米以上</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60E4228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280cm*480cm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550A860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床</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298A756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1.8</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7E47CA9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3E9EE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0DB9808F">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35F6375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床隔帘2.2米以下</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6B4C76F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220cm*180cm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67368F8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2F1F253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1.8</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0DD723B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7D4F5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4223A4B0">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0AFE474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毛毯</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508F9E7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150cm*200cm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6630352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684C783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2.5</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7A6678C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10750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2C4F4F42">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4D4E4DB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空调被</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7B07DFE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190cm*150cm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6E1BEDE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78172DD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2.5</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3385039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08B64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465EBD89">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5</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7B22610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被套</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4B539CA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180 cm *230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79D7E41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床</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40A8C8D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2.19</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276A6A2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2DCDA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1BEBEA9F">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6</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74A3C58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床单</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47A6CB8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180 cm *280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3106ED6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6A70B3E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1.65</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2ADE023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4F3ED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3D5C4009">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7</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4A3E5B8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床罩</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26793BF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150 cm *180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0F18750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床</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0E24259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1.65</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6251531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610C5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59D7E0C5">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8</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113918D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病号中单</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33F1F18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90 cm *160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3E20331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21CC3C3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1.09</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0A973451">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76D33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2582D13D">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9</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3606213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蚊帐</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19DDBF2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120 cm *200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12EBD53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682700B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1.4</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295F739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52433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43CFFF20">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10</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6963967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白大褂</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2F5AC73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大中小码</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5BF5631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件</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6E94858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1.75</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3FC3713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154BB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2B994163">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11</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582FE10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医务、后勤衣、裤</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684CA26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大中小码</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54B885A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件</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2C15BA7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1.65</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03BCC21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3C1AD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64E9C573">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12</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0E7D97D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病号衣裤、洗手衣裤</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3D2ECCB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大中小码</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62C9C27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件</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61ED9B5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1.37</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0BD0121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07D19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6578E283">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13</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11DCF40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枕套</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472458C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50 cm *70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4A91005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72F1FBC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0.7</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62AE449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5AC1C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04F3AABB">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14</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73A97AF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理疗巾</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67D7CDB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40 cm *75 cm 50cm*40cm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29B5E68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004516A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0.7</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0905C93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3A011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49628EC3">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15</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51AD034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枕巾</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18219AE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40 cm *70 cm 68cm*30cm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2156CDE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对</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3E3E662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0.59</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21D09D4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6D5C7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7063E735">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16</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73B8008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口水袋</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3A408B4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45cm *45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7275926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1F4CCEE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0.59</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0888D2D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74E33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7EB1FE62">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17</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31020CD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椅子套</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182163B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常规</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3DDCC27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76B314D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3DD125E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76D2F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5F156FBA">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18</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67977D6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小被套</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353560D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45 cm *50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07C1700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1B9284C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4BCBB2A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23474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17203E78">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19</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219997A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小床罩</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4D5C9AF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45 cm *50 cm *50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40AFFDF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0B1397B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6023610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14E22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03846C1D">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20</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1E2635E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婴儿毛巾被</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37E4456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90 cm *100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73D24E5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78D5D73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727AAD5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34830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085658FD">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21</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74FBD97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新生儿小床单</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6EEE1E8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60cm*90cm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206B846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5CBA586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2828969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43FA5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53C8E5CF">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22</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6004AEF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手术方巾</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0B716FA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85cm *85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4963B53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1467F66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0.96</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2F1EED5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63744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7146F071">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23</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788330E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新型包布</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145B90E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120cm*120cm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226CE56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12FA53F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0.96</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786EC89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2CA05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34516BD7">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24</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0BB4AC9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手术内包布</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275B5D9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145 cm *145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60EE8E0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0004410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1.19</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723C4D0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11AA5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06F6FD36">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25</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7E06606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内层包布</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5DA13B7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120cm*140cm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02F445B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586353C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1.19</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666E7B7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58E90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29622802">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26</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6D9E740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内层包布/新型包布</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6EE8D2F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140cm*180cm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056706C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4E18248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1.19</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1BE5048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57712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3DB293C9">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27</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40DC4F3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软担架</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37D8FAB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70 cm *150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564AFBA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床</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330041C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1.19</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2BE4235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3869D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49FA6411">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28</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0CE474D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新生儿B超、手术小毛巾</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29E186F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25cm *25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7F1794A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6CE3759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0.1</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2514C6F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5851D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5658FC06">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29</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2842451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手术中单</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1F9A455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150 cm *180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56E5A4A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1AF7E7D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1.09</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5961198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27DB8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305B5BDB">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30</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47A6E6C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枕芯</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23A843E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常规（60 cm *40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495549F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23C006B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1.98</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0539B44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67C87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78E04825">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31</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18A3DC9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婴儿衣</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007DD78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定制</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004B6F2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件</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0A2C924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0.69</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28BF3D6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0040D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3BFA14DE">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32</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24CFFC3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脚套</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4B1409C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50 cm *85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0D0C2BB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双</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66D64D9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0.5</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086A45F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61E74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690734BB">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33</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3F50023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过床台布</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3817BA2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50cm *50cm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2062DB7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床</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35BF43A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1.5</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377F711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5A1D6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2489457F">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34</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738601F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约束带</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7480101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上肢210cm*10cm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下肢250cm*20cm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0BF0436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条</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5109D29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0.25</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0A074C8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315AB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4A95DF9D">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35</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6DCF8AA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胸复带</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571230A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 cm *150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67C5754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771BE58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0.25</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0FB1574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7F6C2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296A2466">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36</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0D9D828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帽子</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5313B14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常 规</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78F89FD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顶</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6ECF413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0.25</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692D699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5D0BD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6228CCEA">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37</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0F6833B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毛巾</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3B7D663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35 cm *70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2026C98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713CE4B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0.25</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7465F70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1C136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2F135FF6">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38</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551E491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长毛巾</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26D2FED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35cm*76cm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520868D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128704E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0.25</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3827F111">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1B15A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23B6C55F">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39</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43D0A28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手套</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2B215D7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20cm*15cm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229CB31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双</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314112B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0.5</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02D8853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7049F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156A6B9E">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40</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51BB68B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检查孔</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16A5A45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160cm*170cm*2 90cm*110cm*2</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5ACA737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281EF8F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1.23</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435F1A9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63F96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6CA8EE30">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41</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5B7731A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胶床罩</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512E618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70cm*180cm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1B9D75A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2892C50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1.23</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2AD0B22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4B218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1BBBB916">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42</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3687B87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手术大孔布</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3A40B48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410cm *210cm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6773FBB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6163ED7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7F29B3C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1C9B6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5E854961">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43</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40F39EB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大单</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0887E4B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180 cm *270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1E19BE0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351B8A0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0487D9E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38F10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41580A84">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44</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03E32D1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中孔</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21218F7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85 cm *145cm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2312E9D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49AB83E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1.23</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31C7F2B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53B01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345556F9">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45</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61D402D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手术大包布</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55D32F9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180 cm *200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7AA908C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3806BD3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1.23</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1226245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34266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403C37FD">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46</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0A12D9E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中/小包布</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1A93236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135cm *145cm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6018814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5867257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1.19</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3D634C3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3BF4E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47C65919">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47</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28B293E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供应各科室包布</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16CA174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125 cm *145 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517D356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4EBF93D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1.19</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4F34BA6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2F6CA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54E3E519">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48</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2684048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内层包布/新型包布</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0BA63B6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150cm*180cm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4E77986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1491DDF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1.19</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167615A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08C55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432EEF61">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49</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76EF248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眼孔</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0F69E10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45cm*70cm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6117261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1BA5BF7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1.19</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0EE2DBB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5BB84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3CD8DFBA">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50</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64AA1B1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护栏杆</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2BD3FE9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150cm*70cm</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105033B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452EB97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1.78</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13C5574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4BFA1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7DCDBEA1">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51</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204E341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三角巾</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686AC7B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常规</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39E538A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56B6B67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0.5</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55A9DDB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6121A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2A28C1E3">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52</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240D8ED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志愿者服</w:t>
            </w:r>
          </w:p>
        </w:tc>
        <w:tc>
          <w:tcPr>
            <w:tcW w:w="1130" w:type="pct"/>
            <w:tcBorders>
              <w:top w:val="single" w:color="auto" w:sz="4" w:space="0"/>
              <w:left w:val="single" w:color="auto" w:sz="4" w:space="0"/>
              <w:bottom w:val="single" w:color="auto" w:sz="4" w:space="0"/>
              <w:right w:val="single" w:color="auto" w:sz="4" w:space="0"/>
            </w:tcBorders>
            <w:shd w:val="clear" w:color="auto" w:fill="auto"/>
            <w:vAlign w:val="center"/>
          </w:tcPr>
          <w:p w14:paraId="1925AEE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大、中、小码</w:t>
            </w:r>
          </w:p>
        </w:tc>
        <w:tc>
          <w:tcPr>
            <w:tcW w:w="503" w:type="pct"/>
            <w:tcBorders>
              <w:top w:val="single" w:color="auto" w:sz="4" w:space="0"/>
              <w:left w:val="single" w:color="auto" w:sz="4" w:space="0"/>
              <w:bottom w:val="single" w:color="auto" w:sz="4" w:space="0"/>
              <w:right w:val="single" w:color="auto" w:sz="4" w:space="0"/>
            </w:tcBorders>
            <w:shd w:val="clear" w:color="auto" w:fill="auto"/>
            <w:vAlign w:val="center"/>
          </w:tcPr>
          <w:p w14:paraId="024614F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件</w:t>
            </w:r>
          </w:p>
        </w:tc>
        <w:tc>
          <w:tcPr>
            <w:tcW w:w="970" w:type="pct"/>
            <w:tcBorders>
              <w:top w:val="single" w:color="auto" w:sz="4" w:space="0"/>
              <w:left w:val="single" w:color="auto" w:sz="4" w:space="0"/>
              <w:bottom w:val="single" w:color="auto" w:sz="4" w:space="0"/>
              <w:right w:val="single" w:color="auto" w:sz="4" w:space="0"/>
            </w:tcBorders>
            <w:shd w:val="clear" w:color="auto" w:fill="auto"/>
            <w:vAlign w:val="center"/>
          </w:tcPr>
          <w:p w14:paraId="26D04F9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1.5</w:t>
            </w:r>
          </w:p>
        </w:tc>
        <w:tc>
          <w:tcPr>
            <w:tcW w:w="728" w:type="pct"/>
            <w:tcBorders>
              <w:top w:val="single" w:color="auto" w:sz="4" w:space="0"/>
              <w:left w:val="single" w:color="auto" w:sz="4" w:space="0"/>
              <w:bottom w:val="single" w:color="auto" w:sz="4" w:space="0"/>
              <w:right w:val="single" w:color="auto" w:sz="4" w:space="0"/>
            </w:tcBorders>
            <w:shd w:val="clear" w:color="auto" w:fill="auto"/>
            <w:vAlign w:val="center"/>
          </w:tcPr>
          <w:p w14:paraId="2DA7F6F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r>
      <w:tr w14:paraId="6C6D8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4AF3A649">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合计</w:t>
            </w:r>
          </w:p>
        </w:tc>
        <w:tc>
          <w:tcPr>
            <w:tcW w:w="1209" w:type="pct"/>
            <w:tcBorders>
              <w:top w:val="single" w:color="auto" w:sz="4" w:space="0"/>
              <w:left w:val="single" w:color="auto" w:sz="4" w:space="0"/>
              <w:bottom w:val="single" w:color="auto" w:sz="4" w:space="0"/>
              <w:right w:val="single" w:color="auto" w:sz="4" w:space="0"/>
            </w:tcBorders>
            <w:shd w:val="clear" w:color="auto" w:fill="auto"/>
            <w:vAlign w:val="center"/>
          </w:tcPr>
          <w:p w14:paraId="397718C5">
            <w:pPr>
              <w:jc w:val="center"/>
              <w:rPr>
                <w:rFonts w:hint="eastAsia" w:ascii="宋体" w:hAnsi="宋体" w:eastAsia="宋体" w:cs="宋体"/>
                <w:i w:val="0"/>
                <w:iCs w:val="0"/>
                <w:color w:val="auto"/>
                <w:sz w:val="22"/>
                <w:szCs w:val="22"/>
                <w:u w:val="none"/>
              </w:rPr>
            </w:pPr>
          </w:p>
        </w:tc>
        <w:tc>
          <w:tcPr>
            <w:tcW w:w="163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E817A0A">
            <w:pPr>
              <w:jc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rPr>
              <w:t>下浮系数（%）：</w:t>
            </w:r>
          </w:p>
        </w:tc>
        <w:tc>
          <w:tcPr>
            <w:tcW w:w="1698"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F88885B">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single"/>
                <w:lang w:val="en-US" w:eastAsia="zh-CN" w:bidi="ar"/>
              </w:rPr>
              <w:t xml:space="preserve">   </w:t>
            </w:r>
            <w:r>
              <w:rPr>
                <w:rFonts w:hint="eastAsia" w:ascii="宋体" w:hAnsi="宋体" w:cs="宋体"/>
                <w:i w:val="0"/>
                <w:iCs w:val="0"/>
                <w:color w:val="auto"/>
                <w:kern w:val="0"/>
                <w:sz w:val="22"/>
                <w:szCs w:val="22"/>
                <w:u w:val="none"/>
                <w:lang w:val="en-US" w:eastAsia="zh-CN" w:bidi="ar"/>
              </w:rPr>
              <w:t>%</w:t>
            </w:r>
          </w:p>
        </w:tc>
      </w:tr>
    </w:tbl>
    <w:p w14:paraId="6AE64C75">
      <w:pPr>
        <w:rPr>
          <w:rFonts w:hint="eastAsia"/>
          <w:color w:val="auto"/>
        </w:rPr>
      </w:pPr>
    </w:p>
    <w:p w14:paraId="603B8C29">
      <w:pPr>
        <w:shd w:val="clear"/>
        <w:snapToGrid w:val="0"/>
        <w:spacing w:before="50" w:after="50" w:line="360" w:lineRule="auto"/>
        <w:jc w:val="left"/>
        <w:rPr>
          <w:rFonts w:hint="eastAsia" w:ascii="宋体" w:hAnsi="宋体"/>
          <w:color w:val="auto"/>
          <w:sz w:val="24"/>
          <w:highlight w:val="none"/>
        </w:rPr>
      </w:pPr>
      <w:r>
        <w:rPr>
          <w:rFonts w:hint="eastAsia" w:ascii="宋体" w:hAnsi="宋体"/>
          <w:color w:val="auto"/>
          <w:sz w:val="24"/>
          <w:highlight w:val="none"/>
        </w:rPr>
        <w:t xml:space="preserve">注: </w:t>
      </w:r>
    </w:p>
    <w:p w14:paraId="3AB6CC81">
      <w:pPr>
        <w:shd w:val="clear"/>
        <w:snapToGrid w:val="0"/>
        <w:spacing w:before="50" w:after="50"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1.投标人的投标报价明细表必须加盖投标人公章并由法定代表人或者委托代理人签字，否则其投标作无效标处理。</w:t>
      </w:r>
    </w:p>
    <w:p w14:paraId="38704D34">
      <w:pPr>
        <w:shd w:val="clear"/>
        <w:snapToGrid w:val="0"/>
        <w:spacing w:before="50" w:after="50"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2.报价一经涂改，应在涂改处加盖投标人公章或者由法定代表人或者委托代理人签字或者盖章，否则其投标作无效标处理。</w:t>
      </w:r>
    </w:p>
    <w:p w14:paraId="7A9EC99C">
      <w:pPr>
        <w:shd w:val="clear"/>
        <w:snapToGrid w:val="0"/>
        <w:spacing w:before="50" w:after="50"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olor w:val="auto"/>
          <w:sz w:val="24"/>
          <w:highlight w:val="none"/>
          <w:lang w:val="en-US" w:eastAsia="zh-CN"/>
        </w:rPr>
        <w:t>3.投标单价=上控单价</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val="en-US" w:eastAsia="zh-CN"/>
        </w:rPr>
        <w:t>（1-下浮系数），计算结果需四舍五入并保留两位小数。</w:t>
      </w:r>
    </w:p>
    <w:p w14:paraId="33DC75FE">
      <w:pPr>
        <w:pStyle w:val="2"/>
        <w:rPr>
          <w:rFonts w:hint="eastAsia"/>
          <w:color w:val="auto"/>
        </w:rPr>
      </w:pPr>
    </w:p>
    <w:p w14:paraId="2B968A08">
      <w:pPr>
        <w:shd w:val="clear"/>
        <w:snapToGrid w:val="0"/>
        <w:spacing w:before="50" w:after="50" w:line="360" w:lineRule="auto"/>
        <w:ind w:left="-2" w:leftChars="-1" w:right="-817" w:rightChars="-389"/>
        <w:rPr>
          <w:rFonts w:hint="eastAsia" w:ascii="宋体" w:hAnsi="宋体"/>
          <w:color w:val="auto"/>
          <w:sz w:val="24"/>
          <w:highlight w:val="none"/>
        </w:rPr>
      </w:pPr>
      <w:r>
        <w:rPr>
          <w:rFonts w:hint="eastAsia" w:ascii="宋体" w:hAnsi="宋体"/>
          <w:color w:val="auto"/>
          <w:sz w:val="24"/>
          <w:highlight w:val="none"/>
        </w:rPr>
        <w:t xml:space="preserve">法定代表人或者委托代理人（签字）：                    </w:t>
      </w:r>
    </w:p>
    <w:p w14:paraId="1107F507">
      <w:pPr>
        <w:shd w:val="clear"/>
        <w:snapToGrid w:val="0"/>
        <w:spacing w:before="50" w:after="50" w:line="360" w:lineRule="auto"/>
        <w:ind w:left="-3" w:leftChars="-15" w:right="-817" w:rightChars="-389" w:hanging="28" w:hangingChars="12"/>
        <w:rPr>
          <w:rFonts w:hint="eastAsia" w:ascii="宋体" w:hAnsi="宋体" w:cs="宋体"/>
          <w:b/>
          <w:color w:val="auto"/>
          <w:sz w:val="24"/>
          <w:highlight w:val="none"/>
        </w:rPr>
      </w:pPr>
      <w:r>
        <w:rPr>
          <w:rFonts w:hint="eastAsia" w:ascii="宋体" w:hAnsi="宋体"/>
          <w:color w:val="auto"/>
          <w:sz w:val="24"/>
          <w:highlight w:val="none"/>
        </w:rPr>
        <w:t>投标人（盖</w:t>
      </w:r>
      <w:r>
        <w:rPr>
          <w:rFonts w:hint="eastAsia" w:ascii="宋体" w:hAnsi="宋体"/>
          <w:color w:val="auto"/>
          <w:sz w:val="24"/>
          <w:highlight w:val="none"/>
          <w:lang w:val="en-US" w:eastAsia="zh-CN"/>
        </w:rPr>
        <w:t>公章</w:t>
      </w:r>
      <w:r>
        <w:rPr>
          <w:rFonts w:hint="eastAsia" w:ascii="宋体" w:hAnsi="宋体"/>
          <w:color w:val="auto"/>
          <w:sz w:val="24"/>
          <w:highlight w:val="none"/>
        </w:rPr>
        <w:t>）：                                 日期：    年   月   日</w:t>
      </w:r>
    </w:p>
    <w:p w14:paraId="6D12B8AC">
      <w:pPr>
        <w:shd w:val="clear"/>
        <w:snapToGrid w:val="0"/>
        <w:spacing w:before="50" w:after="50" w:line="360" w:lineRule="auto"/>
        <w:ind w:left="-2" w:leftChars="-15" w:right="-817" w:rightChars="-389" w:hanging="29" w:hangingChars="12"/>
        <w:rPr>
          <w:rFonts w:hint="eastAsia" w:ascii="宋体" w:hAnsi="宋体" w:cs="宋体"/>
          <w:b/>
          <w:color w:val="auto"/>
          <w:sz w:val="24"/>
          <w:highlight w:val="none"/>
        </w:rPr>
      </w:pPr>
      <w:r>
        <w:rPr>
          <w:rFonts w:hint="eastAsia" w:ascii="宋体" w:hAnsi="宋体" w:cs="宋体"/>
          <w:b/>
          <w:color w:val="auto"/>
          <w:sz w:val="24"/>
          <w:highlight w:val="none"/>
        </w:rPr>
        <w:br w:type="page"/>
      </w:r>
    </w:p>
    <w:p w14:paraId="1728042E">
      <w:pPr>
        <w:shd w:val="clear"/>
        <w:rPr>
          <w:rFonts w:hint="eastAsia" w:ascii="宋体" w:hAnsi="宋体" w:cs="宋体"/>
          <w:b/>
          <w:color w:val="auto"/>
          <w:sz w:val="24"/>
          <w:highlight w:val="none"/>
        </w:rPr>
      </w:pPr>
    </w:p>
    <w:p w14:paraId="112F6220">
      <w:pPr>
        <w:shd w:val="clear"/>
        <w:rPr>
          <w:b/>
          <w:color w:val="auto"/>
          <w:sz w:val="28"/>
          <w:szCs w:val="28"/>
          <w:highlight w:val="none"/>
        </w:rPr>
      </w:pPr>
      <w:bookmarkStart w:id="167" w:name="_Toc19686837"/>
      <w:r>
        <w:rPr>
          <w:rFonts w:hint="eastAsia"/>
          <w:b/>
          <w:color w:val="auto"/>
          <w:sz w:val="28"/>
          <w:szCs w:val="28"/>
          <w:highlight w:val="none"/>
        </w:rPr>
        <w:t>三、资格证明文件格式</w:t>
      </w:r>
      <w:bookmarkEnd w:id="165"/>
      <w:bookmarkEnd w:id="166"/>
      <w:bookmarkEnd w:id="167"/>
    </w:p>
    <w:p w14:paraId="744F4DDA">
      <w:pPr>
        <w:numPr>
          <w:ilvl w:val="2"/>
          <w:numId w:val="13"/>
        </w:numPr>
        <w:shd w:val="clear"/>
        <w:snapToGrid w:val="0"/>
        <w:spacing w:before="120" w:beforeLines="50" w:after="50" w:line="360" w:lineRule="auto"/>
        <w:ind w:left="0" w:firstLine="0"/>
        <w:jc w:val="left"/>
        <w:rPr>
          <w:rFonts w:hint="eastAsia" w:ascii="宋体" w:hAnsi="宋体"/>
          <w:b/>
          <w:color w:val="auto"/>
          <w:sz w:val="24"/>
          <w:highlight w:val="none"/>
        </w:rPr>
      </w:pPr>
      <w:r>
        <w:rPr>
          <w:rFonts w:hint="eastAsia" w:ascii="宋体" w:hAnsi="宋体"/>
          <w:b/>
          <w:color w:val="auto"/>
          <w:sz w:val="24"/>
          <w:highlight w:val="none"/>
        </w:rPr>
        <w:t xml:space="preserve">资格证明文件封面格式： </w:t>
      </w:r>
    </w:p>
    <w:p w14:paraId="07F17E50">
      <w:pPr>
        <w:shd w:val="clea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正本/副本</w:t>
      </w:r>
    </w:p>
    <w:p w14:paraId="2FF0508F">
      <w:pPr>
        <w:shd w:val="clear"/>
        <w:snapToGrid w:val="0"/>
        <w:spacing w:before="120" w:beforeLines="50" w:after="50"/>
        <w:rPr>
          <w:rFonts w:hint="eastAsia" w:ascii="宋体" w:hAnsi="宋体"/>
          <w:color w:val="auto"/>
          <w:sz w:val="24"/>
          <w:szCs w:val="20"/>
          <w:highlight w:val="none"/>
        </w:rPr>
      </w:pPr>
    </w:p>
    <w:p w14:paraId="45636C87">
      <w:pPr>
        <w:shd w:val="clear"/>
        <w:snapToGrid w:val="0"/>
        <w:spacing w:before="120" w:beforeLines="50" w:after="50"/>
        <w:jc w:val="center"/>
        <w:rPr>
          <w:rFonts w:hint="eastAsia" w:ascii="宋体" w:hAnsi="宋体"/>
          <w:b/>
          <w:color w:val="auto"/>
          <w:sz w:val="24"/>
          <w:szCs w:val="20"/>
          <w:highlight w:val="none"/>
        </w:rPr>
      </w:pPr>
      <w:r>
        <w:rPr>
          <w:rFonts w:hint="eastAsia" w:ascii="宋体" w:hAnsi="宋体"/>
          <w:b/>
          <w:color w:val="auto"/>
          <w:sz w:val="32"/>
          <w:szCs w:val="32"/>
          <w:highlight w:val="none"/>
        </w:rPr>
        <w:t>资格证明文件</w:t>
      </w:r>
    </w:p>
    <w:p w14:paraId="608B50A5">
      <w:pPr>
        <w:shd w:val="clear"/>
        <w:snapToGrid w:val="0"/>
        <w:spacing w:before="120" w:beforeLines="50" w:after="50"/>
        <w:rPr>
          <w:rFonts w:hint="eastAsia" w:ascii="宋体" w:hAnsi="宋体"/>
          <w:bCs/>
          <w:color w:val="auto"/>
          <w:sz w:val="24"/>
          <w:szCs w:val="20"/>
          <w:highlight w:val="none"/>
        </w:rPr>
      </w:pPr>
    </w:p>
    <w:p w14:paraId="3E8007ED">
      <w:pPr>
        <w:shd w:val="clear"/>
        <w:snapToGrid w:val="0"/>
        <w:spacing w:before="120" w:beforeLines="50" w:after="50"/>
        <w:rPr>
          <w:rFonts w:hint="eastAsia" w:ascii="宋体" w:hAnsi="宋体"/>
          <w:bCs/>
          <w:color w:val="auto"/>
          <w:sz w:val="24"/>
          <w:szCs w:val="20"/>
          <w:highlight w:val="none"/>
        </w:rPr>
      </w:pPr>
    </w:p>
    <w:p w14:paraId="5BE7DEF8">
      <w:pPr>
        <w:shd w:val="clear"/>
        <w:snapToGrid w:val="0"/>
        <w:spacing w:before="120" w:beforeLines="50" w:after="50"/>
        <w:rPr>
          <w:rFonts w:hint="eastAsia" w:ascii="宋体" w:hAnsi="宋体"/>
          <w:bCs/>
          <w:color w:val="auto"/>
          <w:sz w:val="24"/>
          <w:szCs w:val="20"/>
          <w:highlight w:val="none"/>
        </w:rPr>
      </w:pPr>
    </w:p>
    <w:p w14:paraId="496D4F5B">
      <w:pPr>
        <w:shd w:val="clear"/>
        <w:snapToGrid w:val="0"/>
        <w:spacing w:before="120" w:beforeLines="50" w:after="50"/>
        <w:rPr>
          <w:rFonts w:hint="eastAsia" w:ascii="宋体" w:hAnsi="宋体"/>
          <w:bCs/>
          <w:color w:val="auto"/>
          <w:sz w:val="24"/>
          <w:szCs w:val="20"/>
          <w:highlight w:val="none"/>
        </w:rPr>
      </w:pPr>
    </w:p>
    <w:p w14:paraId="3822F4F3">
      <w:pPr>
        <w:shd w:val="clear"/>
        <w:snapToGrid w:val="0"/>
        <w:spacing w:before="120" w:beforeLines="50" w:after="50"/>
        <w:rPr>
          <w:rFonts w:hint="eastAsia" w:ascii="宋体" w:hAnsi="宋体"/>
          <w:bCs/>
          <w:color w:val="auto"/>
          <w:sz w:val="24"/>
          <w:szCs w:val="20"/>
          <w:highlight w:val="none"/>
        </w:rPr>
      </w:pPr>
    </w:p>
    <w:p w14:paraId="7135F51C">
      <w:pPr>
        <w:shd w:val="clear"/>
        <w:snapToGrid w:val="0"/>
        <w:spacing w:before="120" w:beforeLines="50" w:after="50"/>
        <w:rPr>
          <w:rFonts w:hint="eastAsia" w:ascii="宋体" w:hAnsi="宋体"/>
          <w:bCs/>
          <w:color w:val="auto"/>
          <w:sz w:val="24"/>
          <w:szCs w:val="20"/>
          <w:highlight w:val="none"/>
        </w:rPr>
      </w:pPr>
    </w:p>
    <w:p w14:paraId="03072A32">
      <w:pPr>
        <w:shd w:val="clear"/>
        <w:snapToGrid w:val="0"/>
        <w:spacing w:before="120" w:beforeLines="50" w:after="50"/>
        <w:rPr>
          <w:rFonts w:hint="eastAsia" w:ascii="宋体" w:hAnsi="宋体"/>
          <w:bCs/>
          <w:color w:val="auto"/>
          <w:sz w:val="24"/>
          <w:szCs w:val="20"/>
          <w:highlight w:val="none"/>
        </w:rPr>
      </w:pPr>
    </w:p>
    <w:p w14:paraId="106120B2">
      <w:pPr>
        <w:shd w:val="clea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项目名称：</w:t>
      </w:r>
    </w:p>
    <w:p w14:paraId="631F4DEC">
      <w:pPr>
        <w:shd w:val="clear"/>
        <w:snapToGrid w:val="0"/>
        <w:spacing w:before="120" w:beforeLines="50" w:after="50"/>
        <w:ind w:firstLine="540" w:firstLineChars="225"/>
        <w:rPr>
          <w:rFonts w:hint="eastAsia" w:ascii="宋体" w:hAnsi="宋体"/>
          <w:bCs/>
          <w:color w:val="auto"/>
          <w:sz w:val="24"/>
          <w:szCs w:val="20"/>
          <w:highlight w:val="none"/>
        </w:rPr>
      </w:pPr>
    </w:p>
    <w:p w14:paraId="50A12655">
      <w:pPr>
        <w:shd w:val="clea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项目编号：</w:t>
      </w:r>
    </w:p>
    <w:p w14:paraId="224A0A17">
      <w:pPr>
        <w:shd w:val="clear"/>
        <w:snapToGrid w:val="0"/>
        <w:spacing w:before="120" w:beforeLines="50" w:after="50"/>
        <w:ind w:firstLine="540" w:firstLineChars="225"/>
        <w:rPr>
          <w:rFonts w:hint="eastAsia" w:ascii="宋体" w:hAnsi="宋体"/>
          <w:bCs/>
          <w:color w:val="auto"/>
          <w:sz w:val="24"/>
          <w:szCs w:val="20"/>
          <w:highlight w:val="none"/>
        </w:rPr>
      </w:pPr>
      <w:r>
        <w:rPr>
          <w:rFonts w:hint="eastAsia" w:ascii="宋体" w:hAnsi="宋体"/>
          <w:bCs/>
          <w:color w:val="auto"/>
          <w:sz w:val="24"/>
          <w:highlight w:val="none"/>
        </w:rPr>
        <w:t xml:space="preserve"> </w:t>
      </w:r>
    </w:p>
    <w:p w14:paraId="1BD459EF">
      <w:pPr>
        <w:shd w:val="clea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所投分标：</w:t>
      </w:r>
    </w:p>
    <w:p w14:paraId="69E53979">
      <w:pPr>
        <w:pStyle w:val="8"/>
        <w:shd w:val="clear"/>
        <w:snapToGrid w:val="0"/>
        <w:spacing w:before="50" w:after="50"/>
        <w:ind w:firstLine="540" w:firstLineChars="225"/>
        <w:rPr>
          <w:rFonts w:hint="eastAsia" w:ascii="宋体" w:hAnsi="宋体"/>
          <w:bCs/>
          <w:color w:val="auto"/>
          <w:sz w:val="24"/>
          <w:szCs w:val="24"/>
          <w:highlight w:val="none"/>
        </w:rPr>
      </w:pPr>
    </w:p>
    <w:p w14:paraId="3542DDB8">
      <w:pPr>
        <w:pStyle w:val="8"/>
        <w:shd w:val="clear"/>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投标人名称：</w:t>
      </w:r>
    </w:p>
    <w:p w14:paraId="54876B20">
      <w:pPr>
        <w:pStyle w:val="8"/>
        <w:shd w:val="clear"/>
        <w:snapToGrid w:val="0"/>
        <w:spacing w:before="50" w:after="50"/>
        <w:ind w:firstLine="540" w:firstLineChars="225"/>
        <w:rPr>
          <w:rFonts w:hint="eastAsia" w:ascii="宋体" w:hAnsi="宋体"/>
          <w:bCs/>
          <w:color w:val="auto"/>
          <w:sz w:val="24"/>
          <w:szCs w:val="24"/>
          <w:highlight w:val="none"/>
        </w:rPr>
      </w:pPr>
    </w:p>
    <w:p w14:paraId="6F2CDCF5">
      <w:pPr>
        <w:pStyle w:val="8"/>
        <w:shd w:val="clear"/>
        <w:snapToGrid w:val="0"/>
        <w:spacing w:before="50" w:after="50"/>
        <w:ind w:firstLine="960" w:firstLineChars="400"/>
        <w:rPr>
          <w:rFonts w:hint="eastAsia" w:ascii="宋体" w:hAnsi="宋体"/>
          <w:bCs/>
          <w:color w:val="auto"/>
          <w:sz w:val="24"/>
          <w:szCs w:val="24"/>
          <w:highlight w:val="none"/>
        </w:rPr>
      </w:pPr>
    </w:p>
    <w:p w14:paraId="32384231">
      <w:pPr>
        <w:shd w:val="clear"/>
        <w:snapToGrid w:val="0"/>
        <w:spacing w:before="120" w:beforeLines="50" w:after="50"/>
        <w:ind w:firstLine="645"/>
        <w:jc w:val="center"/>
        <w:rPr>
          <w:rFonts w:hint="eastAsia" w:ascii="宋体" w:hAnsi="宋体"/>
          <w:color w:val="auto"/>
          <w:sz w:val="24"/>
          <w:highlight w:val="none"/>
        </w:rPr>
      </w:pPr>
      <w:r>
        <w:rPr>
          <w:rFonts w:hint="eastAsia" w:ascii="宋体" w:hAnsi="宋体"/>
          <w:color w:val="auto"/>
          <w:sz w:val="24"/>
          <w:highlight w:val="none"/>
        </w:rPr>
        <w:t>年  月  日</w:t>
      </w:r>
    </w:p>
    <w:p w14:paraId="4DA07AC0">
      <w:pPr>
        <w:shd w:val="clear"/>
        <w:snapToGrid w:val="0"/>
        <w:spacing w:before="120" w:beforeLines="50" w:after="50"/>
        <w:rPr>
          <w:rFonts w:hint="eastAsia" w:ascii="宋体" w:hAnsi="宋体"/>
          <w:color w:val="auto"/>
          <w:sz w:val="24"/>
          <w:szCs w:val="20"/>
          <w:highlight w:val="none"/>
        </w:rPr>
      </w:pPr>
      <w:r>
        <w:rPr>
          <w:rFonts w:ascii="宋体" w:hAnsi="宋体"/>
          <w:color w:val="auto"/>
          <w:sz w:val="24"/>
          <w:szCs w:val="20"/>
          <w:highlight w:val="none"/>
        </w:rPr>
        <w:t xml:space="preserve"> </w:t>
      </w:r>
    </w:p>
    <w:p w14:paraId="3EA6B51A">
      <w:pPr>
        <w:shd w:val="clear"/>
        <w:snapToGrid w:val="0"/>
        <w:spacing w:before="120" w:beforeLines="50" w:after="50"/>
        <w:rPr>
          <w:rFonts w:hint="eastAsia" w:ascii="宋体" w:hAnsi="宋体"/>
          <w:color w:val="auto"/>
          <w:sz w:val="24"/>
          <w:szCs w:val="20"/>
          <w:highlight w:val="none"/>
        </w:rPr>
      </w:pPr>
    </w:p>
    <w:p w14:paraId="26702F9F">
      <w:pPr>
        <w:numPr>
          <w:ilvl w:val="2"/>
          <w:numId w:val="13"/>
        </w:numPr>
        <w:shd w:val="clear"/>
        <w:snapToGrid w:val="0"/>
        <w:spacing w:before="120" w:beforeLines="50" w:after="50" w:line="360" w:lineRule="auto"/>
        <w:ind w:left="0" w:firstLine="0"/>
        <w:jc w:val="left"/>
        <w:rPr>
          <w:rFonts w:hint="eastAsia" w:ascii="宋体" w:hAnsi="宋体"/>
          <w:color w:val="auto"/>
          <w:sz w:val="24"/>
          <w:szCs w:val="20"/>
          <w:highlight w:val="none"/>
        </w:rPr>
      </w:pPr>
      <w:r>
        <w:rPr>
          <w:rFonts w:ascii="宋体" w:hAnsi="宋体"/>
          <w:b/>
          <w:bCs/>
          <w:color w:val="auto"/>
          <w:sz w:val="24"/>
          <w:highlight w:val="none"/>
        </w:rPr>
        <w:br w:type="page"/>
      </w:r>
      <w:r>
        <w:rPr>
          <w:rFonts w:hint="eastAsia" w:ascii="宋体" w:hAnsi="宋体"/>
          <w:b/>
          <w:bCs/>
          <w:color w:val="auto"/>
          <w:sz w:val="24"/>
          <w:highlight w:val="none"/>
        </w:rPr>
        <w:t>资格证明文件目录</w:t>
      </w:r>
    </w:p>
    <w:p w14:paraId="263A0C88">
      <w:pPr>
        <w:shd w:val="clea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根据招标文件规定及投标人提供的材料自行编写目录。</w:t>
      </w:r>
    </w:p>
    <w:p w14:paraId="6F409414">
      <w:pPr>
        <w:shd w:val="clear"/>
        <w:snapToGrid w:val="0"/>
        <w:spacing w:before="50" w:after="120" w:afterLines="50"/>
        <w:jc w:val="left"/>
        <w:rPr>
          <w:rFonts w:hint="eastAsia" w:ascii="宋体" w:hAnsi="宋体"/>
          <w:color w:val="auto"/>
          <w:sz w:val="24"/>
          <w:highlight w:val="none"/>
        </w:rPr>
      </w:pPr>
    </w:p>
    <w:p w14:paraId="47B22A7B">
      <w:pPr>
        <w:shd w:val="clear"/>
        <w:snapToGrid w:val="0"/>
        <w:spacing w:before="50" w:after="120" w:afterLines="50"/>
        <w:jc w:val="left"/>
        <w:rPr>
          <w:rFonts w:hint="eastAsia" w:ascii="宋体" w:hAnsi="宋体"/>
          <w:color w:val="auto"/>
          <w:sz w:val="24"/>
          <w:highlight w:val="none"/>
        </w:rPr>
      </w:pPr>
    </w:p>
    <w:p w14:paraId="3DAC4856">
      <w:pPr>
        <w:numPr>
          <w:ilvl w:val="2"/>
          <w:numId w:val="13"/>
        </w:numPr>
        <w:shd w:val="clear"/>
        <w:snapToGrid w:val="0"/>
        <w:spacing w:before="120" w:beforeLines="50" w:after="50"/>
        <w:ind w:left="0" w:firstLine="0"/>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8"/>
          <w:szCs w:val="28"/>
          <w:highlight w:val="none"/>
        </w:rPr>
        <w:t>投标人直接控股、管理关系信息表</w:t>
      </w:r>
    </w:p>
    <w:p w14:paraId="42853A5A">
      <w:pPr>
        <w:shd w:val="clear"/>
        <w:snapToGrid w:val="0"/>
        <w:spacing w:before="50" w:after="120" w:afterLines="50"/>
        <w:jc w:val="center"/>
        <w:rPr>
          <w:rFonts w:hint="eastAsia" w:ascii="宋体" w:hAnsi="宋体"/>
          <w:b/>
          <w:color w:val="auto"/>
          <w:sz w:val="28"/>
          <w:szCs w:val="28"/>
          <w:highlight w:val="none"/>
        </w:rPr>
      </w:pPr>
    </w:p>
    <w:p w14:paraId="5F3EF2CF">
      <w:pPr>
        <w:shd w:val="clear"/>
        <w:snapToGrid w:val="0"/>
        <w:spacing w:before="50" w:after="120" w:afterLines="50"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投标人直接控股股东信息表</w:t>
      </w:r>
    </w:p>
    <w:tbl>
      <w:tblPr>
        <w:tblStyle w:val="48"/>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103F7AEE">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26F84BC">
            <w:pPr>
              <w:shd w:val="clea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480DEC6">
            <w:pPr>
              <w:shd w:val="clea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B443AA6">
            <w:pPr>
              <w:shd w:val="clea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A8559E6">
            <w:pPr>
              <w:shd w:val="clea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2E57F93">
            <w:pPr>
              <w:shd w:val="clea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3F42DC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50D96E">
            <w:pPr>
              <w:shd w:val="clea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168E18">
            <w:pPr>
              <w:shd w:val="clea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5E9D83">
            <w:pPr>
              <w:shd w:val="clear"/>
              <w:spacing w:line="360" w:lineRule="auto"/>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C3FDDF">
            <w:pPr>
              <w:shd w:val="clear"/>
              <w:spacing w:line="360" w:lineRule="auto"/>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E2E63B">
            <w:pPr>
              <w:shd w:val="clear"/>
              <w:spacing w:line="360" w:lineRule="auto"/>
              <w:jc w:val="center"/>
              <w:rPr>
                <w:rFonts w:hint="eastAsia" w:ascii="宋体" w:hAnsi="宋体" w:cs="宋体"/>
                <w:color w:val="auto"/>
                <w:kern w:val="0"/>
                <w:sz w:val="24"/>
                <w:highlight w:val="none"/>
              </w:rPr>
            </w:pPr>
          </w:p>
        </w:tc>
      </w:tr>
      <w:tr w14:paraId="67D1CCE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FEF4E8">
            <w:pPr>
              <w:shd w:val="clea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977B0F">
            <w:pPr>
              <w:shd w:val="clea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BCCAD2">
            <w:pPr>
              <w:shd w:val="clear"/>
              <w:spacing w:line="360" w:lineRule="auto"/>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5114C5">
            <w:pPr>
              <w:shd w:val="clear"/>
              <w:spacing w:line="360" w:lineRule="auto"/>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FE317E">
            <w:pPr>
              <w:shd w:val="clear"/>
              <w:spacing w:line="360" w:lineRule="auto"/>
              <w:jc w:val="center"/>
              <w:rPr>
                <w:rFonts w:hint="eastAsia" w:ascii="宋体" w:hAnsi="宋体" w:cs="宋体"/>
                <w:color w:val="auto"/>
                <w:kern w:val="0"/>
                <w:sz w:val="24"/>
                <w:highlight w:val="none"/>
              </w:rPr>
            </w:pPr>
          </w:p>
        </w:tc>
      </w:tr>
      <w:tr w14:paraId="4FC56AF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2E9925">
            <w:pPr>
              <w:shd w:val="clea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0E3F21">
            <w:pPr>
              <w:shd w:val="clea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64343D">
            <w:pPr>
              <w:shd w:val="clear"/>
              <w:spacing w:line="360" w:lineRule="auto"/>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BC34391">
            <w:pPr>
              <w:shd w:val="clear"/>
              <w:spacing w:line="360" w:lineRule="auto"/>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CB1240">
            <w:pPr>
              <w:shd w:val="clear"/>
              <w:spacing w:line="360" w:lineRule="auto"/>
              <w:jc w:val="center"/>
              <w:rPr>
                <w:rFonts w:hint="eastAsia" w:ascii="宋体" w:hAnsi="宋体" w:cs="宋体"/>
                <w:color w:val="auto"/>
                <w:kern w:val="0"/>
                <w:sz w:val="24"/>
                <w:highlight w:val="none"/>
              </w:rPr>
            </w:pPr>
          </w:p>
        </w:tc>
      </w:tr>
      <w:tr w14:paraId="1BDE772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4A49DD">
            <w:pPr>
              <w:shd w:val="clea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C37B2E">
            <w:pPr>
              <w:shd w:val="clea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6E00EB">
            <w:pPr>
              <w:shd w:val="clear"/>
              <w:spacing w:line="360" w:lineRule="auto"/>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DA3584">
            <w:pPr>
              <w:shd w:val="clear"/>
              <w:spacing w:line="360" w:lineRule="auto"/>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1C19FA">
            <w:pPr>
              <w:shd w:val="clear"/>
              <w:spacing w:line="360" w:lineRule="auto"/>
              <w:jc w:val="center"/>
              <w:rPr>
                <w:rFonts w:hint="eastAsia" w:ascii="宋体" w:hAnsi="宋体" w:cs="宋体"/>
                <w:color w:val="auto"/>
                <w:kern w:val="0"/>
                <w:sz w:val="24"/>
                <w:highlight w:val="none"/>
              </w:rPr>
            </w:pPr>
          </w:p>
        </w:tc>
      </w:tr>
    </w:tbl>
    <w:p w14:paraId="49607985">
      <w:pPr>
        <w:shd w:val="clea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5930797F">
      <w:pPr>
        <w:shd w:val="clea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964E8D5">
      <w:pPr>
        <w:shd w:val="clea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7D6E3155">
      <w:pPr>
        <w:shd w:val="clea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3.供应商不存在直接控股股东的，则填“无”。</w:t>
      </w:r>
    </w:p>
    <w:p w14:paraId="65AF509C">
      <w:pPr>
        <w:shd w:val="clear"/>
        <w:snapToGrid w:val="0"/>
        <w:spacing w:line="360" w:lineRule="auto"/>
        <w:jc w:val="left"/>
        <w:rPr>
          <w:rFonts w:hint="eastAsia" w:ascii="宋体" w:hAnsi="宋体"/>
          <w:color w:val="auto"/>
          <w:sz w:val="24"/>
          <w:highlight w:val="none"/>
        </w:rPr>
      </w:pPr>
    </w:p>
    <w:p w14:paraId="08423652">
      <w:pPr>
        <w:shd w:val="clear"/>
        <w:snapToGrid w:val="0"/>
        <w:spacing w:line="360" w:lineRule="auto"/>
        <w:jc w:val="left"/>
        <w:rPr>
          <w:rFonts w:hint="eastAsia" w:ascii="宋体" w:hAnsi="宋体"/>
          <w:color w:val="auto"/>
          <w:sz w:val="24"/>
          <w:highlight w:val="none"/>
        </w:rPr>
      </w:pPr>
    </w:p>
    <w:p w14:paraId="78156D9C">
      <w:pPr>
        <w:shd w:val="clear"/>
        <w:snapToGrid w:val="0"/>
        <w:spacing w:line="360" w:lineRule="auto"/>
        <w:jc w:val="left"/>
        <w:rPr>
          <w:rFonts w:hint="eastAsia" w:ascii="宋体" w:hAnsi="宋体"/>
          <w:color w:val="auto"/>
          <w:sz w:val="24"/>
          <w:highlight w:val="none"/>
        </w:rPr>
      </w:pPr>
    </w:p>
    <w:p w14:paraId="39E4C0D5">
      <w:pPr>
        <w:shd w:val="clear"/>
        <w:snapToGrid w:val="0"/>
        <w:spacing w:line="360" w:lineRule="auto"/>
        <w:jc w:val="left"/>
        <w:rPr>
          <w:rFonts w:hint="eastAsia" w:ascii="宋体" w:hAnsi="宋体"/>
          <w:color w:val="auto"/>
          <w:sz w:val="24"/>
          <w:highlight w:val="none"/>
        </w:rPr>
      </w:pPr>
    </w:p>
    <w:p w14:paraId="1BEC926F">
      <w:pPr>
        <w:shd w:val="clear"/>
        <w:snapToGrid w:val="0"/>
        <w:spacing w:line="360" w:lineRule="auto"/>
        <w:jc w:val="left"/>
        <w:rPr>
          <w:rFonts w:hint="eastAsia" w:ascii="宋体" w:hAnsi="宋体"/>
          <w:color w:val="auto"/>
          <w:sz w:val="24"/>
          <w:highlight w:val="none"/>
        </w:rPr>
      </w:pPr>
    </w:p>
    <w:p w14:paraId="122329A5">
      <w:pPr>
        <w:shd w:val="clear"/>
        <w:snapToGrid w:val="0"/>
        <w:spacing w:before="120" w:beforeLines="50" w:line="360" w:lineRule="auto"/>
        <w:ind w:right="480" w:firstLine="3967" w:firstLineChars="1653"/>
        <w:rPr>
          <w:rFonts w:hint="eastAsia" w:ascii="宋体" w:hAnsi="宋体"/>
          <w:color w:val="auto"/>
          <w:sz w:val="24"/>
          <w:highlight w:val="none"/>
          <w:u w:val="single"/>
        </w:rPr>
      </w:pPr>
      <w:r>
        <w:rPr>
          <w:rFonts w:hint="eastAsia" w:ascii="宋体" w:hAnsi="宋体"/>
          <w:color w:val="auto"/>
          <w:sz w:val="24"/>
          <w:highlight w:val="none"/>
        </w:rPr>
        <w:t>法定代表人或者委托代理人（签字）：</w:t>
      </w:r>
      <w:r>
        <w:rPr>
          <w:rFonts w:hint="eastAsia" w:ascii="宋体" w:hAnsi="宋体"/>
          <w:color w:val="auto"/>
          <w:sz w:val="24"/>
          <w:highlight w:val="none"/>
          <w:u w:val="single"/>
        </w:rPr>
        <w:t xml:space="preserve">             </w:t>
      </w:r>
    </w:p>
    <w:p w14:paraId="4567D93E">
      <w:pPr>
        <w:shd w:val="clear"/>
        <w:snapToGrid w:val="0"/>
        <w:spacing w:before="120" w:beforeLines="50" w:after="50" w:line="360" w:lineRule="auto"/>
        <w:ind w:right="480" w:firstLine="5520" w:firstLineChars="2300"/>
        <w:rPr>
          <w:rFonts w:hint="eastAsia" w:ascii="宋体" w:hAnsi="宋体"/>
          <w:color w:val="auto"/>
          <w:sz w:val="24"/>
          <w:highlight w:val="none"/>
          <w:u w:val="single"/>
        </w:rPr>
      </w:pPr>
      <w:r>
        <w:rPr>
          <w:rFonts w:hint="eastAsia" w:ascii="宋体" w:hAnsi="宋体"/>
          <w:color w:val="auto"/>
          <w:sz w:val="24"/>
          <w:highlight w:val="none"/>
        </w:rPr>
        <w:t>投标人（盖</w:t>
      </w:r>
      <w:r>
        <w:rPr>
          <w:rFonts w:hint="eastAsia" w:ascii="宋体" w:hAnsi="宋体"/>
          <w:color w:val="auto"/>
          <w:sz w:val="24"/>
          <w:highlight w:val="none"/>
          <w:lang w:val="en-US" w:eastAsia="zh-CN"/>
        </w:rPr>
        <w:t>公章</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2B577EBE">
      <w:pPr>
        <w:shd w:val="clear"/>
        <w:snapToGrid w:val="0"/>
        <w:spacing w:before="120" w:beforeLines="50" w:after="50" w:line="360" w:lineRule="auto"/>
        <w:ind w:right="480" w:firstLine="5520" w:firstLineChars="2300"/>
        <w:rPr>
          <w:rFonts w:hint="eastAsia" w:ascii="宋体" w:hAnsi="宋体"/>
          <w:color w:val="auto"/>
          <w:szCs w:val="21"/>
          <w:highlight w:val="none"/>
        </w:rPr>
      </w:pPr>
      <w:r>
        <w:rPr>
          <w:rFonts w:hint="eastAsia" w:ascii="宋体" w:hAnsi="宋体"/>
          <w:color w:val="auto"/>
          <w:sz w:val="24"/>
          <w:highlight w:val="none"/>
        </w:rPr>
        <w:t>年    月    日</w:t>
      </w:r>
    </w:p>
    <w:p w14:paraId="67062FC8">
      <w:pPr>
        <w:shd w:val="clear"/>
        <w:snapToGrid w:val="0"/>
        <w:jc w:val="center"/>
        <w:rPr>
          <w:rFonts w:hint="eastAsia" w:ascii="宋体" w:hAnsi="宋体"/>
          <w:b/>
          <w:color w:val="auto"/>
          <w:sz w:val="28"/>
          <w:szCs w:val="28"/>
          <w:highlight w:val="none"/>
        </w:rPr>
      </w:pPr>
    </w:p>
    <w:p w14:paraId="7AE4D138">
      <w:pPr>
        <w:shd w:val="clear"/>
        <w:snapToGrid w:val="0"/>
        <w:spacing w:line="360" w:lineRule="auto"/>
        <w:jc w:val="center"/>
        <w:rPr>
          <w:rFonts w:hint="eastAsia" w:ascii="宋体" w:hAnsi="宋体"/>
          <w:color w:val="auto"/>
          <w:sz w:val="32"/>
          <w:szCs w:val="32"/>
          <w:highlight w:val="none"/>
        </w:rPr>
      </w:pPr>
      <w:r>
        <w:rPr>
          <w:rFonts w:hint="eastAsia" w:ascii="宋体" w:hAnsi="宋体"/>
          <w:b/>
          <w:color w:val="auto"/>
          <w:sz w:val="32"/>
          <w:szCs w:val="32"/>
          <w:highlight w:val="none"/>
        </w:rPr>
        <w:t>投标人直接管理关系信息表</w:t>
      </w:r>
    </w:p>
    <w:tbl>
      <w:tblPr>
        <w:tblStyle w:val="48"/>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6BA2A7B4">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A0AFEAD">
            <w:pPr>
              <w:shd w:val="clea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48AF4CC">
            <w:pPr>
              <w:shd w:val="clea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1BF14BB">
            <w:pPr>
              <w:shd w:val="clea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F6EEF3D">
            <w:pPr>
              <w:shd w:val="clea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08F0307C">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11B3A4">
            <w:pPr>
              <w:shd w:val="clea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619384">
            <w:pPr>
              <w:shd w:val="clea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8D1BFC">
            <w:pPr>
              <w:shd w:val="clea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96D78E">
            <w:pPr>
              <w:shd w:val="clear"/>
              <w:spacing w:line="360" w:lineRule="auto"/>
              <w:jc w:val="center"/>
              <w:rPr>
                <w:rFonts w:hint="eastAsia" w:ascii="宋体" w:hAnsi="宋体" w:cs="宋体"/>
                <w:color w:val="auto"/>
                <w:kern w:val="0"/>
                <w:sz w:val="24"/>
                <w:highlight w:val="none"/>
              </w:rPr>
            </w:pPr>
          </w:p>
        </w:tc>
      </w:tr>
      <w:tr w14:paraId="25006B8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C2A97A">
            <w:pPr>
              <w:shd w:val="clea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44229F">
            <w:pPr>
              <w:shd w:val="clea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887FD8">
            <w:pPr>
              <w:shd w:val="clea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E8B75B">
            <w:pPr>
              <w:shd w:val="clear"/>
              <w:spacing w:line="360" w:lineRule="auto"/>
              <w:jc w:val="center"/>
              <w:rPr>
                <w:rFonts w:hint="eastAsia" w:ascii="宋体" w:hAnsi="宋体" w:cs="宋体"/>
                <w:color w:val="auto"/>
                <w:kern w:val="0"/>
                <w:sz w:val="24"/>
                <w:highlight w:val="none"/>
              </w:rPr>
            </w:pPr>
          </w:p>
        </w:tc>
      </w:tr>
      <w:tr w14:paraId="66EAB00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98F8B9">
            <w:pPr>
              <w:shd w:val="clea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08E19E">
            <w:pPr>
              <w:shd w:val="clea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C3B6C0">
            <w:pPr>
              <w:shd w:val="clea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A1F6E8">
            <w:pPr>
              <w:shd w:val="clear"/>
              <w:spacing w:line="360" w:lineRule="auto"/>
              <w:jc w:val="center"/>
              <w:rPr>
                <w:rFonts w:hint="eastAsia" w:ascii="宋体" w:hAnsi="宋体" w:cs="宋体"/>
                <w:color w:val="auto"/>
                <w:kern w:val="0"/>
                <w:sz w:val="24"/>
                <w:highlight w:val="none"/>
              </w:rPr>
            </w:pPr>
          </w:p>
        </w:tc>
      </w:tr>
      <w:tr w14:paraId="537A099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F84C66">
            <w:pPr>
              <w:shd w:val="clea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082842">
            <w:pPr>
              <w:shd w:val="clea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6633A5">
            <w:pPr>
              <w:shd w:val="clea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A9D7C6">
            <w:pPr>
              <w:shd w:val="clear"/>
              <w:spacing w:line="360" w:lineRule="auto"/>
              <w:jc w:val="center"/>
              <w:rPr>
                <w:rFonts w:hint="eastAsia" w:ascii="宋体" w:hAnsi="宋体" w:cs="宋体"/>
                <w:color w:val="auto"/>
                <w:kern w:val="0"/>
                <w:sz w:val="24"/>
                <w:highlight w:val="none"/>
              </w:rPr>
            </w:pPr>
          </w:p>
        </w:tc>
      </w:tr>
    </w:tbl>
    <w:p w14:paraId="77B7B4C8">
      <w:pPr>
        <w:shd w:val="clea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3D73EA93">
      <w:pPr>
        <w:shd w:val="clea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6F33BE04">
      <w:pPr>
        <w:shd w:val="clea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117A22BD">
      <w:pPr>
        <w:shd w:val="clea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3.供应商不存在直接管理关系的，则填“无”。</w:t>
      </w:r>
    </w:p>
    <w:p w14:paraId="4BA46229">
      <w:pPr>
        <w:shd w:val="clear"/>
        <w:snapToGrid w:val="0"/>
        <w:spacing w:line="360" w:lineRule="auto"/>
        <w:jc w:val="left"/>
        <w:rPr>
          <w:rFonts w:hint="eastAsia" w:ascii="宋体" w:hAnsi="宋体"/>
          <w:color w:val="auto"/>
          <w:sz w:val="24"/>
          <w:highlight w:val="none"/>
        </w:rPr>
      </w:pPr>
    </w:p>
    <w:p w14:paraId="53BCA01A">
      <w:pPr>
        <w:shd w:val="clear"/>
        <w:snapToGrid w:val="0"/>
        <w:spacing w:line="360" w:lineRule="auto"/>
        <w:jc w:val="left"/>
        <w:rPr>
          <w:rFonts w:hint="eastAsia" w:ascii="宋体" w:hAnsi="宋体"/>
          <w:color w:val="auto"/>
          <w:sz w:val="24"/>
          <w:highlight w:val="none"/>
        </w:rPr>
      </w:pPr>
    </w:p>
    <w:p w14:paraId="470105CA">
      <w:pPr>
        <w:shd w:val="clear"/>
        <w:snapToGrid w:val="0"/>
        <w:spacing w:line="360" w:lineRule="auto"/>
        <w:jc w:val="left"/>
        <w:rPr>
          <w:rFonts w:hint="eastAsia" w:ascii="宋体" w:hAnsi="宋体"/>
          <w:color w:val="auto"/>
          <w:sz w:val="24"/>
          <w:highlight w:val="none"/>
        </w:rPr>
      </w:pPr>
    </w:p>
    <w:p w14:paraId="1227CF25">
      <w:pPr>
        <w:shd w:val="clear"/>
        <w:snapToGrid w:val="0"/>
        <w:spacing w:line="360" w:lineRule="auto"/>
        <w:jc w:val="left"/>
        <w:rPr>
          <w:color w:val="auto"/>
          <w:sz w:val="24"/>
          <w:highlight w:val="none"/>
        </w:rPr>
      </w:pPr>
    </w:p>
    <w:p w14:paraId="2516A7EC">
      <w:pPr>
        <w:shd w:val="clear"/>
        <w:snapToGrid w:val="0"/>
        <w:spacing w:line="360" w:lineRule="auto"/>
        <w:jc w:val="left"/>
        <w:rPr>
          <w:color w:val="auto"/>
          <w:sz w:val="24"/>
          <w:highlight w:val="none"/>
        </w:rPr>
      </w:pPr>
    </w:p>
    <w:p w14:paraId="2B4AA497">
      <w:pPr>
        <w:shd w:val="clear"/>
        <w:snapToGrid w:val="0"/>
        <w:spacing w:line="360" w:lineRule="auto"/>
        <w:jc w:val="left"/>
        <w:rPr>
          <w:color w:val="auto"/>
          <w:sz w:val="24"/>
          <w:highlight w:val="none"/>
        </w:rPr>
      </w:pPr>
    </w:p>
    <w:p w14:paraId="08A2C49F">
      <w:pPr>
        <w:shd w:val="clear"/>
        <w:snapToGrid w:val="0"/>
        <w:spacing w:line="360" w:lineRule="auto"/>
        <w:jc w:val="left"/>
        <w:rPr>
          <w:rFonts w:hint="eastAsia" w:ascii="宋体" w:hAnsi="宋体"/>
          <w:color w:val="auto"/>
          <w:sz w:val="24"/>
          <w:highlight w:val="none"/>
        </w:rPr>
      </w:pPr>
    </w:p>
    <w:p w14:paraId="236615AE">
      <w:pPr>
        <w:shd w:val="clear"/>
        <w:snapToGrid w:val="0"/>
        <w:spacing w:before="120" w:beforeLines="50" w:line="360" w:lineRule="auto"/>
        <w:ind w:right="480" w:firstLine="3967" w:firstLineChars="1653"/>
        <w:rPr>
          <w:rFonts w:hint="eastAsia" w:ascii="宋体" w:hAnsi="宋体"/>
          <w:color w:val="auto"/>
          <w:sz w:val="24"/>
          <w:highlight w:val="none"/>
          <w:u w:val="single"/>
        </w:rPr>
      </w:pPr>
      <w:r>
        <w:rPr>
          <w:rFonts w:hint="eastAsia" w:ascii="宋体" w:hAnsi="宋体"/>
          <w:color w:val="auto"/>
          <w:sz w:val="24"/>
          <w:highlight w:val="none"/>
        </w:rPr>
        <w:t>法定代表人或者委托代理人（签字）：</w:t>
      </w:r>
      <w:r>
        <w:rPr>
          <w:rFonts w:hint="eastAsia" w:ascii="宋体" w:hAnsi="宋体"/>
          <w:color w:val="auto"/>
          <w:sz w:val="24"/>
          <w:highlight w:val="none"/>
          <w:u w:val="single"/>
        </w:rPr>
        <w:t xml:space="preserve">             </w:t>
      </w:r>
    </w:p>
    <w:p w14:paraId="2E694EE5">
      <w:pPr>
        <w:shd w:val="clear"/>
        <w:snapToGrid w:val="0"/>
        <w:spacing w:before="120" w:beforeLines="50" w:after="50" w:line="360" w:lineRule="auto"/>
        <w:ind w:right="480" w:firstLine="5520" w:firstLineChars="2300"/>
        <w:rPr>
          <w:rFonts w:hint="eastAsia" w:ascii="宋体" w:hAnsi="宋体"/>
          <w:color w:val="auto"/>
          <w:sz w:val="24"/>
          <w:highlight w:val="none"/>
        </w:rPr>
      </w:pPr>
      <w:r>
        <w:rPr>
          <w:rFonts w:hint="eastAsia" w:ascii="宋体" w:hAnsi="宋体"/>
          <w:color w:val="auto"/>
          <w:sz w:val="24"/>
          <w:highlight w:val="none"/>
        </w:rPr>
        <w:t>投标人（盖</w:t>
      </w:r>
      <w:r>
        <w:rPr>
          <w:rFonts w:hint="eastAsia" w:ascii="宋体" w:hAnsi="宋体"/>
          <w:color w:val="auto"/>
          <w:sz w:val="24"/>
          <w:highlight w:val="none"/>
          <w:lang w:val="en-US" w:eastAsia="zh-CN"/>
        </w:rPr>
        <w:t>公章</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7DD69C23">
      <w:pPr>
        <w:shd w:val="clear"/>
        <w:snapToGrid w:val="0"/>
        <w:spacing w:before="120" w:beforeLines="50" w:after="50" w:line="360" w:lineRule="auto"/>
        <w:ind w:right="480" w:firstLine="240" w:firstLineChars="100"/>
        <w:jc w:val="right"/>
        <w:rPr>
          <w:rFonts w:hint="eastAsia" w:ascii="宋体" w:hAnsi="宋体"/>
          <w:color w:val="auto"/>
          <w:sz w:val="24"/>
          <w:highlight w:val="none"/>
        </w:rPr>
      </w:pPr>
      <w:r>
        <w:rPr>
          <w:rFonts w:hint="eastAsia" w:ascii="宋体" w:hAnsi="宋体"/>
          <w:color w:val="auto"/>
          <w:sz w:val="24"/>
          <w:highlight w:val="none"/>
        </w:rPr>
        <w:t xml:space="preserve"> 年    月    日</w:t>
      </w:r>
    </w:p>
    <w:p w14:paraId="70B4F4A7">
      <w:pPr>
        <w:shd w:val="clear"/>
        <w:snapToGrid w:val="0"/>
        <w:spacing w:before="50" w:after="120" w:afterLines="50"/>
        <w:jc w:val="left"/>
        <w:rPr>
          <w:rFonts w:hint="eastAsia" w:ascii="宋体" w:hAnsi="宋体"/>
          <w:color w:val="auto"/>
          <w:szCs w:val="21"/>
          <w:highlight w:val="none"/>
        </w:rPr>
      </w:pPr>
    </w:p>
    <w:p w14:paraId="0875D46F">
      <w:pPr>
        <w:shd w:val="clear"/>
        <w:snapToGrid w:val="0"/>
        <w:spacing w:before="120" w:beforeLines="50" w:after="50"/>
        <w:jc w:val="left"/>
        <w:rPr>
          <w:rFonts w:hint="eastAsia" w:ascii="宋体" w:hAnsi="宋体"/>
          <w:b/>
          <w:color w:val="auto"/>
          <w:sz w:val="24"/>
          <w:szCs w:val="20"/>
          <w:highlight w:val="none"/>
        </w:rPr>
      </w:pPr>
    </w:p>
    <w:p w14:paraId="55FBEF50">
      <w:pPr>
        <w:numPr>
          <w:ilvl w:val="2"/>
          <w:numId w:val="13"/>
        </w:numPr>
        <w:shd w:val="clear"/>
        <w:snapToGrid w:val="0"/>
        <w:spacing w:before="120" w:beforeLines="50" w:after="50"/>
        <w:ind w:left="0" w:firstLine="0"/>
        <w:jc w:val="left"/>
        <w:rPr>
          <w:rFonts w:hint="eastAsia" w:ascii="宋体" w:hAnsi="宋体"/>
          <w:b/>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rPr>
        <w:t>投标声明</w:t>
      </w:r>
    </w:p>
    <w:p w14:paraId="46F899FA">
      <w:pPr>
        <w:shd w:val="clear"/>
        <w:snapToGrid w:val="0"/>
        <w:spacing w:before="50" w:after="120" w:afterLines="50"/>
        <w:jc w:val="left"/>
        <w:rPr>
          <w:rFonts w:hint="eastAsia" w:ascii="宋体" w:hAnsi="宋体"/>
          <w:color w:val="auto"/>
          <w:highlight w:val="none"/>
        </w:rPr>
      </w:pPr>
    </w:p>
    <w:p w14:paraId="10A362EB">
      <w:pPr>
        <w:shd w:val="clear"/>
        <w:snapToGrid w:val="0"/>
        <w:spacing w:before="50" w:after="120" w:afterLines="50"/>
        <w:jc w:val="center"/>
        <w:rPr>
          <w:rFonts w:hint="eastAsia"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投标声明</w:t>
      </w:r>
    </w:p>
    <w:p w14:paraId="52705325">
      <w:pPr>
        <w:shd w:val="clear"/>
        <w:snapToGrid w:val="0"/>
        <w:spacing w:before="50" w:after="120" w:afterLines="50"/>
        <w:jc w:val="center"/>
        <w:rPr>
          <w:rFonts w:hint="eastAsia" w:ascii="微软雅黑" w:hAnsi="微软雅黑" w:eastAsia="微软雅黑" w:cs="微软雅黑"/>
          <w:bCs/>
          <w:color w:val="auto"/>
          <w:sz w:val="44"/>
          <w:szCs w:val="44"/>
          <w:highlight w:val="none"/>
        </w:rPr>
      </w:pPr>
    </w:p>
    <w:p w14:paraId="1E5950CC">
      <w:pPr>
        <w:shd w:val="clear"/>
        <w:spacing w:line="400" w:lineRule="exact"/>
        <w:contextualSpacing/>
        <w:jc w:val="left"/>
        <w:rPr>
          <w:color w:val="auto"/>
          <w:sz w:val="24"/>
          <w:highlight w:val="none"/>
        </w:rPr>
      </w:pPr>
      <w:r>
        <w:rPr>
          <w:rFonts w:hint="eastAsia"/>
          <w:color w:val="auto"/>
          <w:sz w:val="24"/>
          <w:highlight w:val="none"/>
        </w:rPr>
        <w:t>（招标人名称）：</w:t>
      </w:r>
    </w:p>
    <w:p w14:paraId="4451118F">
      <w:pPr>
        <w:shd w:val="clear"/>
        <w:spacing w:line="400" w:lineRule="exact"/>
        <w:ind w:firstLine="523" w:firstLineChars="218"/>
        <w:contextualSpacing/>
        <w:jc w:val="left"/>
        <w:rPr>
          <w:rFonts w:hint="eastAsia" w:ascii="宋体" w:hAnsi="宋体"/>
          <w:color w:val="auto"/>
          <w:sz w:val="24"/>
          <w:highlight w:val="none"/>
        </w:rPr>
      </w:pPr>
      <w:r>
        <w:rPr>
          <w:rFonts w:hint="eastAsia" w:ascii="宋体" w:hAnsi="宋体"/>
          <w:color w:val="auto"/>
          <w:sz w:val="24"/>
          <w:highlight w:val="none"/>
        </w:rPr>
        <w:t>我方参加贵单位组织</w:t>
      </w:r>
      <w:r>
        <w:rPr>
          <w:rFonts w:hint="eastAsia" w:ascii="宋体" w:hAnsi="宋体"/>
          <w:color w:val="auto"/>
          <w:sz w:val="24"/>
          <w:highlight w:val="none"/>
          <w:u w:val="single"/>
        </w:rPr>
        <w:t xml:space="preserve">             </w:t>
      </w:r>
      <w:r>
        <w:rPr>
          <w:rFonts w:hint="eastAsia" w:ascii="宋体" w:hAnsi="宋体"/>
          <w:color w:val="auto"/>
          <w:sz w:val="24"/>
          <w:highlight w:val="none"/>
        </w:rPr>
        <w:t>项目（项目编号：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）的政府采购活动。我方在此郑重声明：</w:t>
      </w:r>
    </w:p>
    <w:p w14:paraId="225789A6">
      <w:pPr>
        <w:shd w:val="clea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67D36F2">
      <w:pPr>
        <w:shd w:val="clea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2.我方不是为本次采购项目提供整体设计、规范编制或者项目管理、监理、检测等服务的供应商。</w:t>
      </w:r>
    </w:p>
    <w:p w14:paraId="5AD6A37F">
      <w:pPr>
        <w:shd w:val="clea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3. 我方承诺符合《中华人民共和国政府采购法》第二十二条规定：</w:t>
      </w:r>
    </w:p>
    <w:p w14:paraId="69A3A270">
      <w:pPr>
        <w:shd w:val="clea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（一）具有独立承担民事责任的能力；</w:t>
      </w:r>
    </w:p>
    <w:p w14:paraId="4B83EA3A">
      <w:pPr>
        <w:shd w:val="clea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（二）具有良好的商业信誉和健全的财务会计制度；</w:t>
      </w:r>
    </w:p>
    <w:p w14:paraId="111F2414">
      <w:pPr>
        <w:shd w:val="clea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（三）具有履行合同所必需的设备和专业技术能力；</w:t>
      </w:r>
    </w:p>
    <w:p w14:paraId="7640729B">
      <w:pPr>
        <w:shd w:val="clea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（四）有依法缴纳税收和社会保障资金的良好记录；</w:t>
      </w:r>
    </w:p>
    <w:p w14:paraId="76471808">
      <w:pPr>
        <w:shd w:val="clea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（五）参加政府采购活动前三年内，在经营活动中没有重大违法记录；</w:t>
      </w:r>
    </w:p>
    <w:p w14:paraId="48013C6F">
      <w:pPr>
        <w:shd w:val="clea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（六）法律、行政法规规定的其他条件。</w:t>
      </w:r>
    </w:p>
    <w:p w14:paraId="3308AA45">
      <w:pPr>
        <w:shd w:val="clea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4.以上事项如有虚假或者隐瞒，我方愿意承担一切后果，并不再寻求任何旨在减轻或者免除法律责任的辩解。</w:t>
      </w:r>
    </w:p>
    <w:p w14:paraId="3D5E882B">
      <w:pPr>
        <w:shd w:val="clear"/>
        <w:spacing w:line="400" w:lineRule="exact"/>
        <w:contextualSpacing/>
        <w:jc w:val="left"/>
        <w:rPr>
          <w:rFonts w:hint="eastAsia" w:ascii="宋体" w:hAnsi="宋体"/>
          <w:color w:val="auto"/>
          <w:sz w:val="24"/>
          <w:highlight w:val="none"/>
        </w:rPr>
      </w:pPr>
      <w:r>
        <w:rPr>
          <w:rFonts w:hint="eastAsia" w:ascii="宋体" w:hAnsi="宋体"/>
          <w:color w:val="auto"/>
          <w:sz w:val="24"/>
          <w:highlight w:val="none"/>
        </w:rPr>
        <w:t xml:space="preserve">    特此承诺。</w:t>
      </w:r>
    </w:p>
    <w:p w14:paraId="0CC5F1D0">
      <w:pPr>
        <w:shd w:val="clear"/>
        <w:spacing w:line="400" w:lineRule="exact"/>
        <w:contextualSpacing/>
        <w:jc w:val="left"/>
        <w:rPr>
          <w:rFonts w:hint="eastAsia" w:ascii="宋体" w:hAnsi="宋体"/>
          <w:b/>
          <w:color w:val="auto"/>
          <w:sz w:val="24"/>
          <w:highlight w:val="none"/>
        </w:rPr>
      </w:pPr>
      <w:r>
        <w:rPr>
          <w:rFonts w:hint="eastAsia" w:ascii="宋体" w:hAnsi="宋体"/>
          <w:b/>
          <w:color w:val="auto"/>
          <w:sz w:val="24"/>
          <w:highlight w:val="none"/>
        </w:rPr>
        <w:t xml:space="preserve">    注：如为联合体投标，盖章处须加盖联合体各方公章并由联合体各方法定代表人分别签字，否则投标无效。</w:t>
      </w:r>
    </w:p>
    <w:p w14:paraId="58215537">
      <w:pPr>
        <w:shd w:val="clear"/>
        <w:spacing w:line="400" w:lineRule="exact"/>
        <w:contextualSpacing/>
        <w:jc w:val="left"/>
        <w:rPr>
          <w:rFonts w:hint="eastAsia" w:ascii="宋体" w:hAnsi="宋体"/>
          <w:color w:val="auto"/>
          <w:sz w:val="24"/>
          <w:highlight w:val="none"/>
        </w:rPr>
      </w:pPr>
      <w:r>
        <w:rPr>
          <w:rFonts w:hint="eastAsia" w:ascii="宋体" w:hAnsi="宋体"/>
          <w:color w:val="auto"/>
          <w:sz w:val="24"/>
          <w:highlight w:val="none"/>
        </w:rPr>
        <w:t xml:space="preserve">                                          法定代表人（签字）：</w:t>
      </w:r>
      <w:r>
        <w:rPr>
          <w:rFonts w:hint="eastAsia" w:ascii="宋体" w:hAnsi="宋体"/>
          <w:color w:val="auto"/>
          <w:sz w:val="24"/>
          <w:highlight w:val="none"/>
          <w:u w:val="single"/>
        </w:rPr>
        <w:t xml:space="preserve">             </w:t>
      </w:r>
    </w:p>
    <w:p w14:paraId="403E5F6B">
      <w:pPr>
        <w:shd w:val="clear"/>
        <w:spacing w:line="400" w:lineRule="exact"/>
        <w:contextualSpacing/>
        <w:jc w:val="left"/>
        <w:rPr>
          <w:rFonts w:hint="eastAsia" w:ascii="宋体" w:hAnsi="宋体"/>
          <w:color w:val="auto"/>
          <w:sz w:val="24"/>
          <w:highlight w:val="none"/>
        </w:rPr>
      </w:pPr>
      <w:r>
        <w:rPr>
          <w:rFonts w:hint="eastAsia" w:ascii="宋体" w:hAnsi="宋体"/>
          <w:color w:val="auto"/>
          <w:sz w:val="24"/>
          <w:highlight w:val="none"/>
        </w:rPr>
        <w:t xml:space="preserve">                                          投标人（盖</w:t>
      </w:r>
      <w:r>
        <w:rPr>
          <w:rFonts w:hint="eastAsia" w:ascii="宋体" w:hAnsi="宋体"/>
          <w:color w:val="auto"/>
          <w:sz w:val="24"/>
          <w:highlight w:val="none"/>
          <w:lang w:val="en-US" w:eastAsia="zh-CN"/>
        </w:rPr>
        <w:t>公章</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79858D2D">
      <w:pPr>
        <w:shd w:val="clear"/>
        <w:spacing w:line="400" w:lineRule="exact"/>
        <w:contextualSpacing/>
        <w:jc w:val="left"/>
        <w:rPr>
          <w:rFonts w:hint="eastAsia" w:ascii="宋体" w:hAnsi="宋体"/>
          <w:color w:val="auto"/>
          <w:highlight w:val="none"/>
        </w:rPr>
      </w:pPr>
      <w:r>
        <w:rPr>
          <w:rFonts w:hint="eastAsia" w:ascii="宋体" w:hAnsi="宋体"/>
          <w:color w:val="auto"/>
          <w:sz w:val="24"/>
          <w:highlight w:val="none"/>
        </w:rPr>
        <w:t xml:space="preserve">                                                  年    月    日</w:t>
      </w:r>
    </w:p>
    <w:p w14:paraId="3ACAA3B8">
      <w:pPr>
        <w:shd w:val="clear"/>
        <w:rPr>
          <w:b/>
          <w:color w:val="auto"/>
          <w:sz w:val="28"/>
          <w:szCs w:val="28"/>
          <w:highlight w:val="none"/>
        </w:rPr>
      </w:pPr>
      <w:bookmarkStart w:id="168" w:name="_Toc19686838"/>
      <w:r>
        <w:rPr>
          <w:b/>
          <w:color w:val="auto"/>
          <w:sz w:val="28"/>
          <w:szCs w:val="28"/>
          <w:highlight w:val="none"/>
        </w:rPr>
        <w:br w:type="page"/>
      </w:r>
      <w:r>
        <w:rPr>
          <w:rFonts w:hint="eastAsia"/>
          <w:b/>
          <w:color w:val="auto"/>
          <w:sz w:val="28"/>
          <w:szCs w:val="28"/>
          <w:highlight w:val="none"/>
        </w:rPr>
        <w:t>四、商务文件格式</w:t>
      </w:r>
      <w:bookmarkEnd w:id="168"/>
    </w:p>
    <w:p w14:paraId="3BD7744F">
      <w:pPr>
        <w:shd w:val="clear"/>
        <w:snapToGrid w:val="0"/>
        <w:spacing w:before="120" w:beforeLines="50" w:after="50" w:line="360" w:lineRule="auto"/>
        <w:jc w:val="left"/>
        <w:rPr>
          <w:rFonts w:hint="eastAsia" w:ascii="宋体" w:hAnsi="宋体"/>
          <w:b/>
          <w:color w:val="auto"/>
          <w:sz w:val="24"/>
          <w:highlight w:val="none"/>
        </w:rPr>
      </w:pPr>
      <w:r>
        <w:rPr>
          <w:rFonts w:hint="eastAsia" w:ascii="宋体" w:hAnsi="宋体"/>
          <w:b/>
          <w:color w:val="auto"/>
          <w:sz w:val="24"/>
          <w:highlight w:val="none"/>
        </w:rPr>
        <w:t xml:space="preserve">1.商务文件封面格式： </w:t>
      </w:r>
    </w:p>
    <w:p w14:paraId="43367C7B">
      <w:pPr>
        <w:shd w:val="clea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正本/副本</w:t>
      </w:r>
    </w:p>
    <w:p w14:paraId="1304C43B">
      <w:pPr>
        <w:shd w:val="clear"/>
        <w:snapToGrid w:val="0"/>
        <w:spacing w:before="120" w:beforeLines="50" w:after="50"/>
        <w:rPr>
          <w:rFonts w:hint="eastAsia" w:ascii="宋体" w:hAnsi="宋体"/>
          <w:color w:val="auto"/>
          <w:sz w:val="24"/>
          <w:szCs w:val="20"/>
          <w:highlight w:val="none"/>
        </w:rPr>
      </w:pPr>
    </w:p>
    <w:p w14:paraId="5BE38666">
      <w:pPr>
        <w:shd w:val="clear"/>
        <w:snapToGrid w:val="0"/>
        <w:spacing w:before="120" w:beforeLines="50" w:after="50"/>
        <w:jc w:val="center"/>
        <w:rPr>
          <w:rFonts w:hint="eastAsia"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商  务  文  件</w:t>
      </w:r>
    </w:p>
    <w:p w14:paraId="5BBAD04B">
      <w:pPr>
        <w:shd w:val="clear"/>
        <w:snapToGrid w:val="0"/>
        <w:spacing w:before="120" w:beforeLines="50" w:after="50"/>
        <w:rPr>
          <w:rFonts w:hint="eastAsia" w:ascii="宋体" w:hAnsi="宋体"/>
          <w:bCs/>
          <w:color w:val="auto"/>
          <w:sz w:val="24"/>
          <w:szCs w:val="20"/>
          <w:highlight w:val="none"/>
        </w:rPr>
      </w:pPr>
    </w:p>
    <w:p w14:paraId="0B9514EA">
      <w:pPr>
        <w:shd w:val="clea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项目名称：</w:t>
      </w:r>
    </w:p>
    <w:p w14:paraId="393EB815">
      <w:pPr>
        <w:shd w:val="clear"/>
        <w:snapToGrid w:val="0"/>
        <w:spacing w:before="120" w:beforeLines="50" w:after="50"/>
        <w:ind w:firstLine="540" w:firstLineChars="225"/>
        <w:rPr>
          <w:rFonts w:hint="eastAsia" w:ascii="宋体" w:hAnsi="宋体"/>
          <w:bCs/>
          <w:color w:val="auto"/>
          <w:sz w:val="24"/>
          <w:szCs w:val="20"/>
          <w:highlight w:val="none"/>
        </w:rPr>
      </w:pPr>
    </w:p>
    <w:p w14:paraId="1F91C234">
      <w:pPr>
        <w:shd w:val="clea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项目编号：</w:t>
      </w:r>
    </w:p>
    <w:p w14:paraId="7F6CFBBE">
      <w:pPr>
        <w:shd w:val="clear"/>
        <w:snapToGrid w:val="0"/>
        <w:spacing w:before="120" w:beforeLines="50" w:after="50"/>
        <w:ind w:firstLine="540" w:firstLineChars="225"/>
        <w:rPr>
          <w:rFonts w:hint="eastAsia" w:ascii="宋体" w:hAnsi="宋体"/>
          <w:bCs/>
          <w:color w:val="auto"/>
          <w:sz w:val="24"/>
          <w:szCs w:val="20"/>
          <w:highlight w:val="none"/>
        </w:rPr>
      </w:pPr>
      <w:r>
        <w:rPr>
          <w:rFonts w:hint="eastAsia" w:ascii="宋体" w:hAnsi="宋体"/>
          <w:bCs/>
          <w:color w:val="auto"/>
          <w:sz w:val="24"/>
          <w:highlight w:val="none"/>
        </w:rPr>
        <w:t xml:space="preserve"> </w:t>
      </w:r>
    </w:p>
    <w:p w14:paraId="79102955">
      <w:pPr>
        <w:shd w:val="clea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所投分标：</w:t>
      </w:r>
    </w:p>
    <w:p w14:paraId="7178E0AF">
      <w:pPr>
        <w:shd w:val="clear"/>
        <w:snapToGrid w:val="0"/>
        <w:spacing w:before="120" w:beforeLines="50" w:after="50"/>
        <w:ind w:firstLine="540" w:firstLineChars="225"/>
        <w:rPr>
          <w:rFonts w:hint="eastAsia" w:ascii="宋体" w:hAnsi="宋体"/>
          <w:bCs/>
          <w:color w:val="auto"/>
          <w:sz w:val="24"/>
          <w:szCs w:val="20"/>
          <w:highlight w:val="none"/>
        </w:rPr>
      </w:pPr>
    </w:p>
    <w:p w14:paraId="7933777C">
      <w:pPr>
        <w:pStyle w:val="8"/>
        <w:shd w:val="clear"/>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投标人名称：</w:t>
      </w:r>
    </w:p>
    <w:p w14:paraId="0CFB33F1">
      <w:pPr>
        <w:pStyle w:val="8"/>
        <w:shd w:val="clear"/>
        <w:snapToGrid w:val="0"/>
        <w:spacing w:before="50" w:after="50"/>
        <w:ind w:firstLine="540" w:firstLineChars="225"/>
        <w:rPr>
          <w:rFonts w:hint="eastAsia" w:ascii="宋体" w:hAnsi="宋体"/>
          <w:bCs/>
          <w:color w:val="auto"/>
          <w:sz w:val="24"/>
          <w:szCs w:val="24"/>
          <w:highlight w:val="none"/>
        </w:rPr>
      </w:pPr>
    </w:p>
    <w:p w14:paraId="6DCA9F01">
      <w:pPr>
        <w:pStyle w:val="8"/>
        <w:shd w:val="clear"/>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投标人地址：</w:t>
      </w:r>
    </w:p>
    <w:p w14:paraId="62372CD1">
      <w:pPr>
        <w:pStyle w:val="8"/>
        <w:shd w:val="clear"/>
        <w:snapToGrid w:val="0"/>
        <w:spacing w:before="50" w:after="50"/>
        <w:ind w:firstLine="960" w:firstLineChars="400"/>
        <w:rPr>
          <w:rFonts w:hint="eastAsia" w:ascii="宋体" w:hAnsi="宋体"/>
          <w:bCs/>
          <w:color w:val="auto"/>
          <w:sz w:val="24"/>
          <w:szCs w:val="24"/>
          <w:highlight w:val="none"/>
        </w:rPr>
      </w:pPr>
    </w:p>
    <w:p w14:paraId="3A817712">
      <w:pPr>
        <w:shd w:val="clear"/>
        <w:snapToGrid w:val="0"/>
        <w:spacing w:before="120" w:beforeLines="50" w:after="50"/>
        <w:ind w:firstLine="645"/>
        <w:rPr>
          <w:rFonts w:hint="eastAsia" w:ascii="宋体" w:hAnsi="宋体"/>
          <w:color w:val="auto"/>
          <w:sz w:val="24"/>
          <w:highlight w:val="none"/>
        </w:rPr>
      </w:pPr>
      <w:r>
        <w:rPr>
          <w:rFonts w:hint="eastAsia" w:ascii="宋体" w:hAnsi="宋体"/>
          <w:color w:val="auto"/>
          <w:sz w:val="24"/>
          <w:highlight w:val="none"/>
        </w:rPr>
        <w:t xml:space="preserve">                        年  月  日</w:t>
      </w:r>
    </w:p>
    <w:p w14:paraId="2EF2E848">
      <w:pPr>
        <w:shd w:val="clear"/>
        <w:snapToGrid w:val="0"/>
        <w:spacing w:before="120" w:beforeLines="50" w:after="50"/>
        <w:rPr>
          <w:rFonts w:hint="eastAsia" w:ascii="宋体" w:hAnsi="宋体"/>
          <w:color w:val="auto"/>
          <w:sz w:val="24"/>
          <w:szCs w:val="20"/>
          <w:highlight w:val="none"/>
        </w:rPr>
      </w:pPr>
      <w:r>
        <w:rPr>
          <w:rFonts w:ascii="宋体" w:hAnsi="宋体"/>
          <w:color w:val="auto"/>
          <w:sz w:val="24"/>
          <w:szCs w:val="20"/>
          <w:highlight w:val="none"/>
        </w:rPr>
        <w:t xml:space="preserve"> </w:t>
      </w:r>
    </w:p>
    <w:p w14:paraId="518C30E0">
      <w:pPr>
        <w:shd w:val="clear"/>
        <w:snapToGrid w:val="0"/>
        <w:spacing w:line="360" w:lineRule="auto"/>
        <w:jc w:val="left"/>
        <w:rPr>
          <w:rFonts w:hint="eastAsia" w:ascii="宋体" w:hAnsi="宋体"/>
          <w:b/>
          <w:bCs/>
          <w:color w:val="auto"/>
          <w:sz w:val="28"/>
          <w:szCs w:val="28"/>
          <w:highlight w:val="none"/>
        </w:rPr>
      </w:pPr>
      <w:r>
        <w:rPr>
          <w:rFonts w:ascii="宋体" w:hAnsi="宋体"/>
          <w:color w:val="auto"/>
          <w:sz w:val="24"/>
          <w:szCs w:val="20"/>
          <w:highlight w:val="none"/>
        </w:rPr>
        <w:br w:type="page"/>
      </w:r>
      <w:r>
        <w:rPr>
          <w:rFonts w:hint="eastAsia" w:ascii="宋体" w:hAnsi="宋体"/>
          <w:b/>
          <w:bCs/>
          <w:color w:val="auto"/>
          <w:sz w:val="32"/>
          <w:szCs w:val="32"/>
          <w:highlight w:val="none"/>
        </w:rPr>
        <w:t>2.商务文件目录</w:t>
      </w:r>
    </w:p>
    <w:p w14:paraId="2374FF19">
      <w:pPr>
        <w:shd w:val="clear"/>
        <w:snapToGrid w:val="0"/>
        <w:spacing w:before="50" w:after="120" w:afterLines="50" w:line="360" w:lineRule="auto"/>
        <w:ind w:firstLine="640" w:firstLineChars="200"/>
        <w:jc w:val="left"/>
        <w:rPr>
          <w:rFonts w:hint="eastAsia" w:ascii="微软雅黑" w:hAnsi="微软雅黑" w:eastAsia="微软雅黑"/>
          <w:b/>
          <w:bCs/>
          <w:color w:val="auto"/>
          <w:sz w:val="32"/>
          <w:szCs w:val="32"/>
          <w:highlight w:val="none"/>
        </w:rPr>
      </w:pPr>
      <w:r>
        <w:rPr>
          <w:rFonts w:hint="eastAsia" w:ascii="宋体" w:hAnsi="宋体"/>
          <w:color w:val="auto"/>
          <w:sz w:val="32"/>
          <w:szCs w:val="32"/>
          <w:highlight w:val="none"/>
        </w:rPr>
        <w:t>根据招标文件规定及投标人提供的材料自行编写目录。</w:t>
      </w:r>
    </w:p>
    <w:p w14:paraId="47744DBD">
      <w:pPr>
        <w:shd w:val="clear"/>
        <w:snapToGrid w:val="0"/>
        <w:spacing w:before="50" w:after="120" w:afterLines="50"/>
        <w:jc w:val="left"/>
        <w:rPr>
          <w:rFonts w:hint="eastAsia" w:ascii="宋体" w:hAnsi="宋体"/>
          <w:color w:val="auto"/>
          <w:highlight w:val="none"/>
        </w:rPr>
      </w:pPr>
    </w:p>
    <w:p w14:paraId="142E7541">
      <w:pPr>
        <w:shd w:val="clear"/>
        <w:snapToGrid w:val="0"/>
        <w:spacing w:before="120" w:beforeLines="50" w:after="50"/>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3.投标人参加本项目无围标串标行为的承诺</w:t>
      </w:r>
    </w:p>
    <w:p w14:paraId="3301413B">
      <w:pPr>
        <w:shd w:val="clear"/>
        <w:snapToGrid w:val="0"/>
        <w:spacing w:before="120" w:beforeLines="50" w:after="50"/>
        <w:jc w:val="left"/>
        <w:rPr>
          <w:rFonts w:hint="eastAsia" w:ascii="宋体" w:hAnsi="宋体"/>
          <w:b/>
          <w:color w:val="auto"/>
          <w:sz w:val="24"/>
          <w:highlight w:val="none"/>
        </w:rPr>
      </w:pPr>
    </w:p>
    <w:p w14:paraId="4ECBE908">
      <w:pPr>
        <w:shd w:val="clear"/>
        <w:spacing w:line="360" w:lineRule="auto"/>
        <w:ind w:left="420"/>
        <w:contextualSpacing/>
        <w:jc w:val="center"/>
        <w:rPr>
          <w:rFonts w:hint="eastAsia" w:ascii="宋体" w:hAnsi="宋体"/>
          <w:b/>
          <w:color w:val="auto"/>
          <w:sz w:val="24"/>
          <w:highlight w:val="none"/>
        </w:rPr>
      </w:pPr>
      <w:r>
        <w:rPr>
          <w:rFonts w:hint="eastAsia" w:ascii="微软雅黑" w:hAnsi="微软雅黑" w:eastAsia="微软雅黑" w:cs="微软雅黑"/>
          <w:bCs/>
          <w:color w:val="auto"/>
          <w:spacing w:val="-11"/>
          <w:sz w:val="44"/>
          <w:szCs w:val="44"/>
          <w:highlight w:val="none"/>
        </w:rPr>
        <w:t>投标人参加本项目无围标串标行为的承诺函</w:t>
      </w:r>
    </w:p>
    <w:p w14:paraId="0C4EAA16">
      <w:pPr>
        <w:shd w:val="clear"/>
        <w:spacing w:line="440" w:lineRule="exact"/>
        <w:contextualSpacing/>
        <w:jc w:val="left"/>
        <w:rPr>
          <w:rFonts w:hint="eastAsia" w:ascii="宋体" w:hAnsi="宋体"/>
          <w:b/>
          <w:color w:val="auto"/>
          <w:sz w:val="24"/>
          <w:highlight w:val="none"/>
        </w:rPr>
      </w:pPr>
      <w:r>
        <w:rPr>
          <w:rFonts w:hint="eastAsia" w:ascii="宋体" w:hAnsi="宋体"/>
          <w:b/>
          <w:color w:val="auto"/>
          <w:sz w:val="24"/>
          <w:highlight w:val="none"/>
        </w:rPr>
        <w:t>一、我方承诺无下列相互串通投标的情形：</w:t>
      </w:r>
    </w:p>
    <w:p w14:paraId="0DD2DC3D">
      <w:pPr>
        <w:shd w:val="clea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1.不同投标人的投标文件由同一单位或者个人编制；</w:t>
      </w:r>
    </w:p>
    <w:p w14:paraId="5320A151">
      <w:pPr>
        <w:shd w:val="clea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2.不同投标人委托同一单位或者个人办理投标事宜；</w:t>
      </w:r>
    </w:p>
    <w:p w14:paraId="502BF649">
      <w:pPr>
        <w:shd w:val="clea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3.不同的投标人的投标文件载明的项目管理员为同一个人；</w:t>
      </w:r>
    </w:p>
    <w:p w14:paraId="4DB90D48">
      <w:pPr>
        <w:shd w:val="clea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4.不同投标人的投标文件异常一致或者投标报价呈规律性差异；</w:t>
      </w:r>
    </w:p>
    <w:p w14:paraId="76C3BB4E">
      <w:pPr>
        <w:shd w:val="clea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5.不同投标人的投标文件相互混装；</w:t>
      </w:r>
    </w:p>
    <w:p w14:paraId="457E3411">
      <w:pPr>
        <w:shd w:val="clea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6.不同投标人的投标保证金从同一单位或者个人账户转出。</w:t>
      </w:r>
    </w:p>
    <w:p w14:paraId="11E0B82E">
      <w:pPr>
        <w:shd w:val="clear"/>
        <w:spacing w:line="440" w:lineRule="exact"/>
        <w:contextualSpacing/>
        <w:jc w:val="left"/>
        <w:rPr>
          <w:rFonts w:hint="eastAsia" w:ascii="宋体" w:hAnsi="宋体"/>
          <w:color w:val="auto"/>
          <w:sz w:val="24"/>
          <w:highlight w:val="none"/>
        </w:rPr>
      </w:pPr>
      <w:r>
        <w:rPr>
          <w:rFonts w:hint="eastAsia" w:ascii="宋体" w:hAnsi="宋体"/>
          <w:b/>
          <w:color w:val="auto"/>
          <w:sz w:val="24"/>
          <w:highlight w:val="none"/>
        </w:rPr>
        <w:t>二、我方承诺无下列恶意串通的情形：</w:t>
      </w:r>
    </w:p>
    <w:p w14:paraId="1B6FF54E">
      <w:pPr>
        <w:shd w:val="clea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1.投标人直接或者间接从招标人或者采购代理机构处获得其他投标人的相关信息并修改其投标文件或者响应文件；</w:t>
      </w:r>
    </w:p>
    <w:p w14:paraId="46B6E90A">
      <w:pPr>
        <w:shd w:val="clea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2.投标人按照招标人或者采购代理机构的授意撤换、修改投标文件或者响应文件；</w:t>
      </w:r>
    </w:p>
    <w:p w14:paraId="11BC5D75">
      <w:pPr>
        <w:shd w:val="clea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3.投标人之间协商报价、技术方案等投标文件或者响应文件的实质性内容；</w:t>
      </w:r>
    </w:p>
    <w:p w14:paraId="68DB9342">
      <w:pPr>
        <w:shd w:val="clea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4.属于同一集团、协会、商会等组织成员的投标人按照该组织要求协同参加政府采购活动；</w:t>
      </w:r>
    </w:p>
    <w:p w14:paraId="25EB3F3A">
      <w:pPr>
        <w:shd w:val="clea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4A1BBC7D">
      <w:pPr>
        <w:shd w:val="clea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6.投标人之间商定部分投标人放弃参加政府采购活动或者放弃中标；</w:t>
      </w:r>
    </w:p>
    <w:p w14:paraId="174F5A15">
      <w:pPr>
        <w:shd w:val="clea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7.投标人与招标人或者采购代理机构之间、投标人相互之间，为谋求特定投标人中标或者排斥其他投标人的其他串通行为。</w:t>
      </w:r>
    </w:p>
    <w:p w14:paraId="459C0A9C">
      <w:pPr>
        <w:shd w:val="clear"/>
        <w:spacing w:line="440" w:lineRule="exact"/>
        <w:ind w:firstLine="472" w:firstLineChars="196"/>
        <w:contextualSpacing/>
        <w:jc w:val="left"/>
        <w:rPr>
          <w:rFonts w:hint="eastAsia" w:ascii="宋体" w:hAnsi="宋体"/>
          <w:b/>
          <w:color w:val="auto"/>
          <w:sz w:val="24"/>
          <w:highlight w:val="none"/>
        </w:rPr>
      </w:pPr>
      <w:r>
        <w:rPr>
          <w:rFonts w:hint="eastAsia" w:ascii="宋体" w:hAnsi="宋体"/>
          <w:b/>
          <w:color w:val="auto"/>
          <w:sz w:val="24"/>
          <w:highlight w:val="none"/>
        </w:rPr>
        <w:t>以上情形一经核查属实，我方愿意承担一切后果，并不再寻求任何旨在减轻或者免除法律责任的辩解。</w:t>
      </w:r>
    </w:p>
    <w:p w14:paraId="2E1B0021">
      <w:pPr>
        <w:pStyle w:val="26"/>
        <w:shd w:val="clear"/>
        <w:spacing w:line="440" w:lineRule="exact"/>
        <w:ind w:firstLine="6840" w:firstLineChars="2850"/>
        <w:contextualSpacing/>
        <w:rPr>
          <w:rFonts w:hint="eastAsia" w:hAnsi="宋体"/>
          <w:color w:val="auto"/>
          <w:sz w:val="24"/>
          <w:szCs w:val="24"/>
          <w:highlight w:val="none"/>
        </w:rPr>
      </w:pPr>
    </w:p>
    <w:p w14:paraId="1A0E5BBA">
      <w:pPr>
        <w:pStyle w:val="26"/>
        <w:shd w:val="clear"/>
        <w:spacing w:line="440" w:lineRule="exact"/>
        <w:contextualSpacing/>
        <w:jc w:val="center"/>
        <w:rPr>
          <w:rFonts w:hint="eastAsia" w:hAnsi="宋体"/>
          <w:color w:val="auto"/>
          <w:sz w:val="24"/>
          <w:szCs w:val="24"/>
          <w:highlight w:val="none"/>
        </w:rPr>
      </w:pPr>
      <w:r>
        <w:rPr>
          <w:rFonts w:hint="eastAsia" w:hAnsi="宋体"/>
          <w:color w:val="auto"/>
          <w:sz w:val="24"/>
          <w:szCs w:val="24"/>
          <w:highlight w:val="none"/>
        </w:rPr>
        <w:t xml:space="preserve"> </w:t>
      </w:r>
      <w:r>
        <w:rPr>
          <w:rFonts w:hAnsi="宋体"/>
          <w:color w:val="auto"/>
          <w:sz w:val="24"/>
          <w:szCs w:val="24"/>
          <w:highlight w:val="none"/>
        </w:rPr>
        <w:t xml:space="preserve">                                   </w:t>
      </w:r>
      <w:r>
        <w:rPr>
          <w:rFonts w:hint="eastAsia" w:hAnsi="宋体"/>
          <w:color w:val="auto"/>
          <w:sz w:val="24"/>
          <w:szCs w:val="24"/>
          <w:highlight w:val="none"/>
        </w:rPr>
        <w:t>投标人（</w:t>
      </w:r>
      <w:r>
        <w:rPr>
          <w:rFonts w:hint="eastAsia" w:hAnsi="宋体"/>
          <w:color w:val="auto"/>
          <w:sz w:val="24"/>
          <w:szCs w:val="24"/>
          <w:highlight w:val="none"/>
          <w:lang w:val="en-US" w:eastAsia="zh-CN"/>
        </w:rPr>
        <w:t>盖公章</w:t>
      </w:r>
      <w:r>
        <w:rPr>
          <w:rFonts w:hint="eastAsia" w:hAnsi="宋体"/>
          <w:color w:val="auto"/>
          <w:sz w:val="24"/>
          <w:szCs w:val="24"/>
          <w:highlight w:val="none"/>
        </w:rPr>
        <w:t>）</w:t>
      </w:r>
    </w:p>
    <w:p w14:paraId="7463B034">
      <w:pPr>
        <w:pStyle w:val="26"/>
        <w:shd w:val="clear"/>
        <w:spacing w:line="440" w:lineRule="exact"/>
        <w:contextualSpacing/>
        <w:rPr>
          <w:rFonts w:hint="eastAsia" w:hAnsi="宋体"/>
          <w:color w:val="auto"/>
          <w:sz w:val="24"/>
          <w:highlight w:val="none"/>
        </w:rPr>
      </w:pPr>
      <w:r>
        <w:rPr>
          <w:rFonts w:hint="eastAsia" w:hAnsi="宋体"/>
          <w:color w:val="auto"/>
          <w:sz w:val="24"/>
          <w:highlight w:val="none"/>
        </w:rPr>
        <w:t xml:space="preserve">                                                </w:t>
      </w:r>
      <w:r>
        <w:rPr>
          <w:rFonts w:hint="eastAsia" w:hAnsi="宋体"/>
          <w:color w:val="auto"/>
          <w:sz w:val="24"/>
          <w:highlight w:val="none"/>
          <w:u w:val="single"/>
        </w:rPr>
        <w:t xml:space="preserve">      </w:t>
      </w:r>
      <w:r>
        <w:rPr>
          <w:rFonts w:hint="eastAsia" w:hAnsi="宋体"/>
          <w:color w:val="auto"/>
          <w:sz w:val="24"/>
          <w:highlight w:val="none"/>
        </w:rPr>
        <w:t>年</w:t>
      </w:r>
      <w:r>
        <w:rPr>
          <w:rFonts w:hint="eastAsia" w:hAnsi="宋体"/>
          <w:color w:val="auto"/>
          <w:sz w:val="24"/>
          <w:highlight w:val="none"/>
          <w:u w:val="single"/>
        </w:rPr>
        <w:t xml:space="preserve">    </w:t>
      </w:r>
      <w:r>
        <w:rPr>
          <w:rFonts w:hint="eastAsia" w:hAnsi="宋体"/>
          <w:color w:val="auto"/>
          <w:sz w:val="24"/>
          <w:highlight w:val="none"/>
        </w:rPr>
        <w:t>月</w:t>
      </w:r>
      <w:r>
        <w:rPr>
          <w:rFonts w:hint="eastAsia" w:hAnsi="宋体"/>
          <w:color w:val="auto"/>
          <w:sz w:val="24"/>
          <w:highlight w:val="none"/>
          <w:u w:val="single"/>
        </w:rPr>
        <w:t xml:space="preserve">     </w:t>
      </w:r>
      <w:r>
        <w:rPr>
          <w:rFonts w:hint="eastAsia" w:hAnsi="宋体"/>
          <w:color w:val="auto"/>
          <w:sz w:val="24"/>
          <w:highlight w:val="none"/>
        </w:rPr>
        <w:t>日</w:t>
      </w:r>
    </w:p>
    <w:p w14:paraId="35DF3392">
      <w:pPr>
        <w:shd w:val="clear"/>
        <w:snapToGrid w:val="0"/>
        <w:spacing w:before="120" w:beforeLines="50" w:after="50"/>
        <w:jc w:val="left"/>
        <w:rPr>
          <w:rFonts w:hint="eastAsia" w:ascii="宋体" w:hAnsi="宋体"/>
          <w:b/>
          <w:color w:val="auto"/>
          <w:sz w:val="24"/>
          <w:szCs w:val="20"/>
          <w:highlight w:val="none"/>
        </w:rPr>
      </w:pPr>
      <w:r>
        <w:rPr>
          <w:rFonts w:hint="eastAsia" w:ascii="宋体" w:hAnsi="宋体"/>
          <w:b/>
          <w:color w:val="auto"/>
          <w:sz w:val="24"/>
          <w:highlight w:val="none"/>
        </w:rPr>
        <w:br w:type="page"/>
      </w:r>
      <w:r>
        <w:rPr>
          <w:rFonts w:hint="eastAsia" w:ascii="宋体" w:hAnsi="宋体"/>
          <w:b/>
          <w:color w:val="auto"/>
          <w:sz w:val="24"/>
          <w:highlight w:val="none"/>
        </w:rPr>
        <w:t>4.法定代表人身份证明</w:t>
      </w:r>
    </w:p>
    <w:p w14:paraId="617572D4">
      <w:pPr>
        <w:shd w:val="clear"/>
        <w:spacing w:before="240" w:beforeLines="100" w:after="120" w:afterLines="50"/>
        <w:ind w:left="540"/>
        <w:jc w:val="center"/>
        <w:rPr>
          <w:rFonts w:ascii="宋体" w:hAnsi="Courier New"/>
          <w:b/>
          <w:color w:val="auto"/>
          <w:sz w:val="32"/>
          <w:szCs w:val="32"/>
          <w:highlight w:val="none"/>
        </w:rPr>
      </w:pPr>
    </w:p>
    <w:p w14:paraId="1D23977D">
      <w:pPr>
        <w:shd w:val="clear"/>
        <w:spacing w:before="240" w:beforeLines="100" w:after="120" w:afterLines="50"/>
        <w:ind w:left="540"/>
        <w:jc w:val="center"/>
        <w:rPr>
          <w:rFonts w:hint="eastAsia"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法定代表人身份证明</w:t>
      </w:r>
    </w:p>
    <w:p w14:paraId="56AC88A4">
      <w:pPr>
        <w:shd w:val="clear"/>
        <w:spacing w:line="500" w:lineRule="exact"/>
        <w:ind w:left="540"/>
        <w:rPr>
          <w:rFonts w:hint="eastAsia" w:ascii="宋体" w:hAnsi="宋体"/>
          <w:color w:val="auto"/>
          <w:sz w:val="24"/>
          <w:highlight w:val="none"/>
        </w:rPr>
      </w:pPr>
      <w:r>
        <w:rPr>
          <w:rFonts w:hint="eastAsia" w:ascii="宋体" w:hAnsi="宋体"/>
          <w:color w:val="auto"/>
          <w:sz w:val="24"/>
          <w:highlight w:val="none"/>
        </w:rPr>
        <w:t>投 标 人：</w:t>
      </w:r>
      <w:r>
        <w:rPr>
          <w:rFonts w:hint="eastAsia" w:ascii="宋体" w:hAnsi="宋体"/>
          <w:color w:val="auto"/>
          <w:sz w:val="24"/>
          <w:highlight w:val="none"/>
          <w:u w:val="single"/>
        </w:rPr>
        <w:t xml:space="preserve">                                                        </w:t>
      </w:r>
    </w:p>
    <w:p w14:paraId="1D7395B3">
      <w:pPr>
        <w:shd w:val="clear"/>
        <w:spacing w:line="500" w:lineRule="exact"/>
        <w:ind w:left="540"/>
        <w:rPr>
          <w:rFonts w:hint="eastAsia"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79DE8AA3">
      <w:pPr>
        <w:shd w:val="clear"/>
        <w:spacing w:line="500" w:lineRule="exact"/>
        <w:ind w:left="540"/>
        <w:rPr>
          <w:rFonts w:hint="eastAsia" w:ascii="宋体" w:hAnsi="宋体"/>
          <w:color w:val="auto"/>
          <w:sz w:val="24"/>
          <w:highlight w:val="none"/>
        </w:rPr>
      </w:pPr>
      <w:r>
        <w:rPr>
          <w:rFonts w:hint="eastAsia" w:ascii="宋体" w:hAnsi="宋体"/>
          <w:color w:val="auto"/>
          <w:sz w:val="24"/>
          <w:highlight w:val="none"/>
        </w:rPr>
        <w:t>姓    名：</w:t>
      </w:r>
      <w:r>
        <w:rPr>
          <w:rFonts w:hint="eastAsia" w:ascii="宋体" w:hAnsi="宋体"/>
          <w:color w:val="auto"/>
          <w:sz w:val="24"/>
          <w:highlight w:val="none"/>
          <w:u w:val="single"/>
        </w:rPr>
        <w:t xml:space="preserve">                          </w:t>
      </w:r>
      <w:r>
        <w:rPr>
          <w:rFonts w:hint="eastAsia" w:ascii="宋体" w:hAnsi="宋体"/>
          <w:color w:val="auto"/>
          <w:sz w:val="24"/>
          <w:highlight w:val="none"/>
        </w:rPr>
        <w:t>性      别：</w:t>
      </w:r>
      <w:r>
        <w:rPr>
          <w:rFonts w:hint="eastAsia" w:ascii="宋体" w:hAnsi="宋体"/>
          <w:color w:val="auto"/>
          <w:sz w:val="24"/>
          <w:highlight w:val="none"/>
          <w:u w:val="single"/>
        </w:rPr>
        <w:t xml:space="preserve">                </w:t>
      </w:r>
    </w:p>
    <w:p w14:paraId="331D4257">
      <w:pPr>
        <w:shd w:val="clear"/>
        <w:spacing w:line="500" w:lineRule="exact"/>
        <w:ind w:left="540"/>
        <w:rPr>
          <w:rFonts w:hint="eastAsia" w:ascii="宋体" w:hAnsi="宋体"/>
          <w:color w:val="auto"/>
          <w:sz w:val="24"/>
          <w:highlight w:val="none"/>
          <w:u w:val="single"/>
        </w:rPr>
      </w:pPr>
      <w:r>
        <w:rPr>
          <w:rFonts w:hint="eastAsia" w:ascii="宋体" w:hAnsi="宋体"/>
          <w:color w:val="auto"/>
          <w:sz w:val="24"/>
          <w:highlight w:val="none"/>
        </w:rPr>
        <w:t>年    龄：</w:t>
      </w:r>
      <w:r>
        <w:rPr>
          <w:rFonts w:hint="eastAsia" w:ascii="宋体" w:hAnsi="宋体"/>
          <w:color w:val="auto"/>
          <w:sz w:val="24"/>
          <w:highlight w:val="none"/>
          <w:u w:val="single"/>
        </w:rPr>
        <w:t xml:space="preserve">                          </w:t>
      </w:r>
      <w:r>
        <w:rPr>
          <w:rFonts w:hint="eastAsia" w:ascii="宋体" w:hAnsi="宋体"/>
          <w:color w:val="auto"/>
          <w:sz w:val="24"/>
          <w:highlight w:val="none"/>
        </w:rPr>
        <w:t>职      务：</w:t>
      </w:r>
      <w:r>
        <w:rPr>
          <w:rFonts w:hint="eastAsia" w:ascii="宋体" w:hAnsi="宋体"/>
          <w:color w:val="auto"/>
          <w:sz w:val="24"/>
          <w:highlight w:val="none"/>
          <w:u w:val="single"/>
        </w:rPr>
        <w:t xml:space="preserve">                </w:t>
      </w:r>
    </w:p>
    <w:p w14:paraId="0B8F0B8E">
      <w:pPr>
        <w:shd w:val="clear"/>
        <w:spacing w:line="500" w:lineRule="exact"/>
        <w:ind w:left="540"/>
        <w:rPr>
          <w:rFonts w:hint="eastAsia"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r>
        <w:rPr>
          <w:rFonts w:hint="eastAsia"/>
          <w:color w:val="auto"/>
          <w:sz w:val="24"/>
          <w:highlight w:val="none"/>
          <w:u w:val="single"/>
        </w:rPr>
        <w:t xml:space="preserve">                                 </w:t>
      </w:r>
    </w:p>
    <w:p w14:paraId="2D6E9241">
      <w:pPr>
        <w:shd w:val="clear"/>
        <w:spacing w:line="500" w:lineRule="exact"/>
        <w:ind w:left="540"/>
        <w:rPr>
          <w:rFonts w:hint="eastAsia"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（投标人名称）              </w:t>
      </w:r>
      <w:r>
        <w:rPr>
          <w:rFonts w:hint="eastAsia" w:ascii="宋体" w:hAnsi="宋体"/>
          <w:color w:val="auto"/>
          <w:sz w:val="24"/>
          <w:highlight w:val="none"/>
        </w:rPr>
        <w:t>的法定代表人。</w:t>
      </w:r>
    </w:p>
    <w:p w14:paraId="12DC0F3B">
      <w:pPr>
        <w:shd w:val="clear"/>
        <w:spacing w:line="500" w:lineRule="exact"/>
        <w:ind w:left="540"/>
        <w:rPr>
          <w:rFonts w:hint="eastAsia" w:ascii="宋体" w:hAnsi="宋体"/>
          <w:color w:val="auto"/>
          <w:sz w:val="24"/>
          <w:highlight w:val="none"/>
        </w:rPr>
      </w:pPr>
      <w:r>
        <w:rPr>
          <w:rFonts w:hint="eastAsia" w:ascii="宋体" w:hAnsi="宋体"/>
          <w:color w:val="auto"/>
          <w:sz w:val="24"/>
          <w:highlight w:val="none"/>
        </w:rPr>
        <w:t>特此证明。</w:t>
      </w:r>
    </w:p>
    <w:p w14:paraId="5475DB65">
      <w:pPr>
        <w:shd w:val="clear"/>
        <w:spacing w:line="500" w:lineRule="exact"/>
        <w:ind w:left="540"/>
        <w:rPr>
          <w:rFonts w:hint="eastAsia" w:ascii="宋体" w:hAnsi="宋体"/>
          <w:color w:val="auto"/>
          <w:sz w:val="24"/>
          <w:highlight w:val="none"/>
        </w:rPr>
      </w:pPr>
    </w:p>
    <w:p w14:paraId="2D33AF41">
      <w:pPr>
        <w:shd w:val="clear"/>
        <w:spacing w:line="500" w:lineRule="exact"/>
        <w:ind w:left="540"/>
        <w:rPr>
          <w:rFonts w:hint="eastAsia" w:ascii="宋体" w:hAnsi="宋体"/>
          <w:color w:val="auto"/>
          <w:sz w:val="24"/>
          <w:highlight w:val="none"/>
        </w:rPr>
      </w:pPr>
    </w:p>
    <w:p w14:paraId="78818DE6">
      <w:pPr>
        <w:shd w:val="clear"/>
        <w:spacing w:line="500" w:lineRule="exact"/>
        <w:ind w:left="540"/>
        <w:rPr>
          <w:rFonts w:hint="eastAsia" w:ascii="宋体" w:hAnsi="宋体"/>
          <w:color w:val="auto"/>
          <w:sz w:val="24"/>
          <w:highlight w:val="none"/>
        </w:rPr>
      </w:pPr>
      <w:r>
        <w:rPr>
          <w:rFonts w:hint="eastAsia" w:ascii="宋体" w:hAnsi="宋体"/>
          <w:color w:val="auto"/>
          <w:sz w:val="24"/>
          <w:highlight w:val="none"/>
        </w:rPr>
        <w:t>附件：法定代表人有效身份证正反面复印件</w:t>
      </w:r>
    </w:p>
    <w:p w14:paraId="27808874">
      <w:pPr>
        <w:shd w:val="clear"/>
        <w:spacing w:line="500" w:lineRule="exact"/>
        <w:ind w:left="540"/>
        <w:rPr>
          <w:rFonts w:hint="eastAsia" w:ascii="宋体" w:hAnsi="宋体"/>
          <w:color w:val="auto"/>
          <w:sz w:val="24"/>
          <w:highlight w:val="none"/>
        </w:rPr>
      </w:pPr>
    </w:p>
    <w:p w14:paraId="0D1C5A59">
      <w:pPr>
        <w:shd w:val="clear"/>
        <w:spacing w:line="500" w:lineRule="exact"/>
        <w:ind w:left="540"/>
        <w:jc w:val="right"/>
        <w:rPr>
          <w:rFonts w:hint="eastAsia" w:ascii="宋体" w:hAnsi="宋体"/>
          <w:color w:val="auto"/>
          <w:sz w:val="24"/>
          <w:highlight w:val="none"/>
        </w:rPr>
      </w:pPr>
      <w:r>
        <w:rPr>
          <w:rFonts w:hint="eastAsia" w:ascii="宋体" w:hAnsi="宋体"/>
          <w:color w:val="auto"/>
          <w:sz w:val="24"/>
          <w:highlight w:val="none"/>
        </w:rPr>
        <w:t>投标人（</w:t>
      </w:r>
      <w:r>
        <w:rPr>
          <w:rFonts w:hint="eastAsia" w:ascii="宋体" w:hAnsi="宋体"/>
          <w:color w:val="auto"/>
          <w:sz w:val="24"/>
          <w:highlight w:val="none"/>
          <w:lang w:val="en-US" w:eastAsia="zh-CN"/>
        </w:rPr>
        <w:t>盖公章</w:t>
      </w:r>
      <w:r>
        <w:rPr>
          <w:rFonts w:hint="eastAsia" w:ascii="宋体" w:hAnsi="宋体"/>
          <w:color w:val="auto"/>
          <w:sz w:val="24"/>
          <w:highlight w:val="none"/>
        </w:rPr>
        <w:t>）</w:t>
      </w:r>
    </w:p>
    <w:p w14:paraId="1EFAF8F0">
      <w:pPr>
        <w:shd w:val="clear"/>
        <w:spacing w:line="500" w:lineRule="exact"/>
        <w:ind w:left="540"/>
        <w:jc w:val="right"/>
        <w:rPr>
          <w:rFonts w:hint="eastAsia" w:ascii="宋体" w:hAnsi="宋体"/>
          <w:color w:val="auto"/>
          <w:sz w:val="24"/>
          <w:highlight w:val="none"/>
        </w:rPr>
      </w:pPr>
    </w:p>
    <w:p w14:paraId="70CE83DF">
      <w:pPr>
        <w:shd w:val="clear"/>
        <w:snapToGrid w:val="0"/>
        <w:spacing w:before="120" w:beforeLines="50" w:after="50"/>
        <w:ind w:left="540"/>
        <w:jc w:val="right"/>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6C0EF59E">
      <w:pPr>
        <w:shd w:val="clear"/>
        <w:snapToGrid w:val="0"/>
        <w:spacing w:before="120" w:beforeLines="50" w:after="50"/>
        <w:jc w:val="center"/>
        <w:rPr>
          <w:rFonts w:hint="eastAsia" w:ascii="宋体" w:hAnsi="宋体"/>
          <w:b/>
          <w:color w:val="auto"/>
          <w:sz w:val="24"/>
          <w:highlight w:val="none"/>
        </w:rPr>
      </w:pPr>
    </w:p>
    <w:p w14:paraId="2A5EAD6F">
      <w:pPr>
        <w:shd w:val="clear"/>
        <w:snapToGrid w:val="0"/>
        <w:spacing w:before="120" w:beforeLines="50" w:after="50"/>
        <w:jc w:val="left"/>
        <w:rPr>
          <w:rFonts w:hint="eastAsia" w:ascii="宋体" w:hAnsi="宋体"/>
          <w:b/>
          <w:color w:val="auto"/>
          <w:sz w:val="24"/>
          <w:szCs w:val="20"/>
          <w:highlight w:val="none"/>
        </w:rPr>
      </w:pPr>
      <w:r>
        <w:rPr>
          <w:rFonts w:hint="eastAsia" w:ascii="宋体" w:hAnsi="宋体"/>
          <w:color w:val="auto"/>
          <w:sz w:val="24"/>
          <w:highlight w:val="none"/>
        </w:rPr>
        <w:t>注：自然人投标的无需提供</w:t>
      </w:r>
    </w:p>
    <w:p w14:paraId="1086F3D4">
      <w:pPr>
        <w:shd w:val="clear"/>
        <w:snapToGrid w:val="0"/>
        <w:spacing w:before="120" w:beforeLines="50" w:after="50"/>
        <w:jc w:val="left"/>
        <w:rPr>
          <w:rFonts w:hint="eastAsia" w:ascii="宋体" w:hAnsi="宋体"/>
          <w:b/>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rPr>
        <w:t>5.授权委托书格式</w:t>
      </w:r>
    </w:p>
    <w:p w14:paraId="7CA97912">
      <w:pPr>
        <w:shd w:val="clear"/>
        <w:snapToGrid w:val="0"/>
        <w:spacing w:before="120" w:beforeLines="50" w:after="50"/>
        <w:jc w:val="center"/>
        <w:rPr>
          <w:rFonts w:hint="eastAsia" w:ascii="宋体" w:hAnsi="宋体"/>
          <w:b/>
          <w:color w:val="auto"/>
          <w:sz w:val="44"/>
          <w:szCs w:val="44"/>
          <w:highlight w:val="none"/>
        </w:rPr>
      </w:pPr>
    </w:p>
    <w:p w14:paraId="2E6E5406">
      <w:pPr>
        <w:shd w:val="clear"/>
        <w:spacing w:line="360" w:lineRule="auto"/>
        <w:contextualSpacing/>
        <w:jc w:val="center"/>
        <w:rPr>
          <w:rFonts w:hint="eastAsia"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授权委托书</w:t>
      </w:r>
    </w:p>
    <w:p w14:paraId="4C5DAFB2">
      <w:pPr>
        <w:shd w:val="clear"/>
        <w:spacing w:line="360" w:lineRule="auto"/>
        <w:contextualSpacing/>
        <w:jc w:val="center"/>
        <w:rPr>
          <w:rFonts w:hint="eastAsia" w:ascii="微软雅黑" w:hAnsi="微软雅黑" w:eastAsia="微软雅黑" w:cs="微软雅黑"/>
          <w:bCs/>
          <w:color w:val="auto"/>
          <w:sz w:val="32"/>
          <w:szCs w:val="32"/>
          <w:highlight w:val="none"/>
        </w:rPr>
      </w:pPr>
      <w:r>
        <w:rPr>
          <w:rFonts w:hint="eastAsia" w:ascii="微软雅黑" w:hAnsi="微软雅黑" w:eastAsia="微软雅黑" w:cs="微软雅黑"/>
          <w:bCs/>
          <w:color w:val="auto"/>
          <w:sz w:val="32"/>
          <w:szCs w:val="32"/>
          <w:highlight w:val="none"/>
        </w:rPr>
        <w:t>（非联合体投标格式）</w:t>
      </w:r>
    </w:p>
    <w:p w14:paraId="66B31C1E">
      <w:pPr>
        <w:shd w:val="clear"/>
        <w:spacing w:line="360" w:lineRule="auto"/>
        <w:contextualSpacing/>
        <w:jc w:val="center"/>
        <w:rPr>
          <w:rFonts w:hint="eastAsia" w:ascii="微软雅黑" w:hAnsi="微软雅黑" w:eastAsia="微软雅黑" w:cs="微软雅黑"/>
          <w:bCs/>
          <w:color w:val="auto"/>
          <w:sz w:val="24"/>
          <w:highlight w:val="none"/>
        </w:rPr>
      </w:pPr>
      <w:r>
        <w:rPr>
          <w:rFonts w:hint="eastAsia" w:ascii="微软雅黑" w:hAnsi="微软雅黑" w:eastAsia="微软雅黑" w:cs="微软雅黑"/>
          <w:bCs/>
          <w:color w:val="auto"/>
          <w:sz w:val="32"/>
          <w:szCs w:val="32"/>
          <w:highlight w:val="none"/>
        </w:rPr>
        <w:t>（如有委托时）</w:t>
      </w:r>
    </w:p>
    <w:p w14:paraId="139B831C">
      <w:pPr>
        <w:shd w:val="clear"/>
        <w:spacing w:line="440" w:lineRule="exact"/>
        <w:contextualSpacing/>
        <w:jc w:val="center"/>
        <w:rPr>
          <w:rFonts w:hint="eastAsia" w:ascii="宋体" w:hAnsi="宋体"/>
          <w:b/>
          <w:color w:val="auto"/>
          <w:sz w:val="24"/>
          <w:highlight w:val="none"/>
        </w:rPr>
      </w:pPr>
    </w:p>
    <w:p w14:paraId="0FEA7B92">
      <w:pPr>
        <w:shd w:val="clear"/>
        <w:spacing w:line="440" w:lineRule="exact"/>
        <w:contextualSpacing/>
        <w:rPr>
          <w:rFonts w:hint="eastAsia"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招标人名称</w:t>
      </w:r>
      <w:r>
        <w:rPr>
          <w:rFonts w:hint="eastAsia" w:ascii="宋体" w:hAnsi="宋体"/>
          <w:color w:val="auto"/>
          <w:sz w:val="24"/>
          <w:highlight w:val="none"/>
        </w:rPr>
        <w:t>：</w:t>
      </w:r>
    </w:p>
    <w:p w14:paraId="32B4B576">
      <w:pPr>
        <w:shd w:val="clear"/>
        <w:spacing w:line="440" w:lineRule="exact"/>
        <w:ind w:firstLine="566" w:firstLineChars="236"/>
        <w:contextualSpacing/>
        <w:rPr>
          <w:rFonts w:hint="eastAsia"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      </w:t>
      </w:r>
      <w:r>
        <w:rPr>
          <w:rFonts w:hint="eastAsia" w:ascii="宋体" w:hAnsi="宋体"/>
          <w:color w:val="auto"/>
          <w:sz w:val="24"/>
          <w:highlight w:val="none"/>
        </w:rPr>
        <w:t>（投标人名称）的法定代表人，现授权委托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409352C4">
      <w:pPr>
        <w:shd w:val="clear"/>
        <w:spacing w:line="440" w:lineRule="exact"/>
        <w:contextualSpacing/>
        <w:rPr>
          <w:rFonts w:hint="eastAsia" w:ascii="宋体" w:hAnsi="宋体"/>
          <w:color w:val="auto"/>
          <w:sz w:val="24"/>
          <w:highlight w:val="none"/>
        </w:rPr>
      </w:pPr>
      <w:r>
        <w:rPr>
          <w:rFonts w:hint="eastAsia" w:ascii="宋体" w:hAnsi="宋体"/>
          <w:color w:val="auto"/>
          <w:sz w:val="24"/>
          <w:highlight w:val="none"/>
        </w:rPr>
        <w:t xml:space="preserve">    我方对委托代理人的签字事项负全部责任。</w:t>
      </w:r>
    </w:p>
    <w:p w14:paraId="24337635">
      <w:pPr>
        <w:shd w:val="clear"/>
        <w:spacing w:line="440" w:lineRule="exact"/>
        <w:ind w:firstLine="480"/>
        <w:contextualSpacing/>
        <w:rPr>
          <w:rFonts w:hint="eastAsia" w:ascii="宋体" w:hAnsi="宋体"/>
          <w:color w:val="auto"/>
          <w:sz w:val="24"/>
          <w:highlight w:val="none"/>
        </w:rPr>
      </w:pPr>
      <w:r>
        <w:rPr>
          <w:rFonts w:hint="eastAsia" w:ascii="宋体" w:hAnsi="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7B358B6B">
      <w:pPr>
        <w:shd w:val="clear"/>
        <w:spacing w:line="440" w:lineRule="exact"/>
        <w:ind w:firstLine="480"/>
        <w:contextualSpacing/>
        <w:rPr>
          <w:rFonts w:hint="eastAsia" w:ascii="宋体" w:hAnsi="宋体"/>
          <w:color w:val="auto"/>
          <w:sz w:val="24"/>
          <w:highlight w:val="none"/>
        </w:rPr>
      </w:pPr>
      <w:r>
        <w:rPr>
          <w:rFonts w:hint="eastAsia" w:ascii="宋体" w:hAnsi="宋体"/>
          <w:color w:val="auto"/>
          <w:sz w:val="24"/>
          <w:highlight w:val="none"/>
        </w:rPr>
        <w:t>委托代理人无转委托权，特此委托。</w:t>
      </w:r>
    </w:p>
    <w:p w14:paraId="5A9DE569">
      <w:pPr>
        <w:shd w:val="clear"/>
        <w:spacing w:line="440" w:lineRule="exact"/>
        <w:ind w:firstLine="480"/>
        <w:contextualSpacing/>
        <w:rPr>
          <w:rFonts w:hint="eastAsia" w:ascii="宋体" w:hAnsi="宋体"/>
          <w:color w:val="auto"/>
          <w:sz w:val="24"/>
          <w:highlight w:val="none"/>
        </w:rPr>
      </w:pPr>
      <w:r>
        <w:rPr>
          <w:rFonts w:hint="eastAsia" w:ascii="宋体" w:hAnsi="宋体"/>
          <w:color w:val="auto"/>
          <w:sz w:val="24"/>
          <w:highlight w:val="none"/>
        </w:rPr>
        <w:t>附：法定代表人身份证明及委托代理人有效身份证正反面复印件</w:t>
      </w:r>
    </w:p>
    <w:p w14:paraId="0E9B6889">
      <w:pPr>
        <w:shd w:val="clear"/>
        <w:spacing w:line="440" w:lineRule="exact"/>
        <w:contextualSpacing/>
        <w:rPr>
          <w:rFonts w:hint="eastAsia" w:ascii="宋体" w:hAnsi="宋体"/>
          <w:color w:val="auto"/>
          <w:sz w:val="24"/>
          <w:highlight w:val="none"/>
        </w:rPr>
      </w:pPr>
    </w:p>
    <w:p w14:paraId="0940E1EA">
      <w:pPr>
        <w:shd w:val="clear"/>
        <w:spacing w:line="440" w:lineRule="exact"/>
        <w:contextualSpacing/>
        <w:rPr>
          <w:rFonts w:hint="eastAsia" w:ascii="宋体" w:hAnsi="宋体"/>
          <w:color w:val="auto"/>
          <w:sz w:val="24"/>
          <w:highlight w:val="none"/>
          <w:u w:val="single"/>
        </w:rPr>
      </w:pPr>
      <w:r>
        <w:rPr>
          <w:rFonts w:hint="eastAsia" w:ascii="宋体" w:hAnsi="宋体"/>
          <w:color w:val="auto"/>
          <w:sz w:val="24"/>
          <w:highlight w:val="none"/>
        </w:rPr>
        <w:t>委托代理人（签字）：</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法定代表人（签字或盖章）：</w:t>
      </w:r>
      <w:r>
        <w:rPr>
          <w:rFonts w:hint="eastAsia" w:ascii="宋体" w:hAnsi="宋体"/>
          <w:color w:val="auto"/>
          <w:sz w:val="24"/>
          <w:highlight w:val="none"/>
          <w:u w:val="single"/>
        </w:rPr>
        <w:t xml:space="preserve">              </w:t>
      </w:r>
    </w:p>
    <w:p w14:paraId="7E68AF86">
      <w:pPr>
        <w:shd w:val="clear"/>
        <w:spacing w:line="440" w:lineRule="exact"/>
        <w:contextualSpacing/>
        <w:rPr>
          <w:rFonts w:hint="eastAsia" w:ascii="宋体" w:hAnsi="宋体"/>
          <w:color w:val="auto"/>
          <w:sz w:val="24"/>
          <w:highlight w:val="none"/>
        </w:rPr>
      </w:pPr>
      <w:r>
        <w:rPr>
          <w:rFonts w:hint="eastAsia" w:ascii="宋体" w:hAnsi="宋体"/>
          <w:color w:val="auto"/>
          <w:sz w:val="24"/>
          <w:highlight w:val="none"/>
        </w:rPr>
        <w:t>委托代理人身份证号码：</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32856CD8">
      <w:pPr>
        <w:shd w:val="clear"/>
        <w:spacing w:line="440" w:lineRule="exact"/>
        <w:contextualSpacing/>
        <w:jc w:val="center"/>
        <w:rPr>
          <w:rFonts w:hint="eastAsia" w:ascii="宋体" w:hAnsi="宋体"/>
          <w:color w:val="auto"/>
          <w:sz w:val="24"/>
          <w:highlight w:val="none"/>
        </w:rPr>
      </w:pPr>
      <w:r>
        <w:rPr>
          <w:rFonts w:hint="eastAsia" w:ascii="宋体" w:hAnsi="宋体"/>
          <w:color w:val="auto"/>
          <w:sz w:val="24"/>
          <w:highlight w:val="none"/>
        </w:rPr>
        <w:t xml:space="preserve">                                                投标人（盖</w:t>
      </w:r>
      <w:r>
        <w:rPr>
          <w:rFonts w:hint="eastAsia" w:ascii="宋体" w:hAnsi="宋体"/>
          <w:color w:val="auto"/>
          <w:sz w:val="24"/>
          <w:highlight w:val="none"/>
          <w:lang w:val="en-US" w:eastAsia="zh-CN"/>
        </w:rPr>
        <w:t>公章</w:t>
      </w:r>
      <w:r>
        <w:rPr>
          <w:rFonts w:hint="eastAsia" w:ascii="宋体" w:hAnsi="宋体"/>
          <w:color w:val="auto"/>
          <w:sz w:val="24"/>
          <w:highlight w:val="none"/>
        </w:rPr>
        <w:t>）：</w:t>
      </w:r>
    </w:p>
    <w:p w14:paraId="2EEF0357">
      <w:pPr>
        <w:shd w:val="clear"/>
        <w:spacing w:line="440" w:lineRule="exact"/>
        <w:contextualSpacing/>
        <w:jc w:val="center"/>
        <w:rPr>
          <w:rFonts w:hint="eastAsia" w:ascii="宋体" w:hAnsi="宋体"/>
          <w:color w:val="auto"/>
          <w:sz w:val="24"/>
          <w:highlight w:val="none"/>
        </w:rPr>
      </w:pPr>
      <w:r>
        <w:rPr>
          <w:rFonts w:hint="eastAsia" w:ascii="宋体" w:hAnsi="宋体"/>
          <w:color w:val="auto"/>
          <w:sz w:val="24"/>
          <w:highlight w:val="none"/>
        </w:rPr>
        <w:t xml:space="preserve">                                              年    月    日</w:t>
      </w:r>
    </w:p>
    <w:p w14:paraId="7A3A2BEB">
      <w:pPr>
        <w:shd w:val="clear"/>
        <w:spacing w:line="440" w:lineRule="exact"/>
        <w:contextualSpacing/>
        <w:rPr>
          <w:rFonts w:hint="eastAsia" w:ascii="宋体" w:hAnsi="宋体" w:cs="仿宋_GB2312"/>
          <w:color w:val="auto"/>
          <w:sz w:val="24"/>
          <w:highlight w:val="none"/>
        </w:rPr>
      </w:pPr>
      <w:r>
        <w:rPr>
          <w:rFonts w:hint="eastAsia" w:ascii="宋体" w:hAnsi="宋体" w:cs="仿宋_GB2312"/>
          <w:color w:val="auto"/>
          <w:sz w:val="24"/>
          <w:highlight w:val="none"/>
        </w:rPr>
        <w:t>注：1.</w:t>
      </w:r>
      <w:bookmarkStart w:id="169" w:name="_Hlk65851555"/>
      <w:bookmarkStart w:id="170" w:name="_Hlk65851620"/>
      <w:r>
        <w:rPr>
          <w:rFonts w:hint="eastAsia" w:ascii="宋体" w:hAnsi="宋体" w:cs="仿宋_GB2312"/>
          <w:color w:val="auto"/>
          <w:sz w:val="24"/>
          <w:highlight w:val="none"/>
        </w:rPr>
        <w:t>法定代表人必须在授权委托书上亲笔签字或盖章，</w:t>
      </w:r>
      <w:bookmarkEnd w:id="169"/>
      <w:r>
        <w:rPr>
          <w:rFonts w:hint="eastAsia" w:ascii="宋体" w:hAnsi="宋体" w:cs="仿宋_GB2312"/>
          <w:color w:val="auto"/>
          <w:sz w:val="24"/>
          <w:highlight w:val="none"/>
        </w:rPr>
        <w:t>委托代理人必须在授权委托书上亲笔签字，</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bookmarkEnd w:id="170"/>
    </w:p>
    <w:p w14:paraId="19FC8ACF">
      <w:pPr>
        <w:shd w:val="clear"/>
        <w:spacing w:line="440" w:lineRule="exact"/>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2.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5FDE77C7">
      <w:pPr>
        <w:shd w:val="clear"/>
        <w:spacing w:line="440" w:lineRule="exact"/>
        <w:ind w:firstLine="480" w:firstLineChars="200"/>
        <w:contextualSpacing/>
        <w:jc w:val="left"/>
        <w:rPr>
          <w:rFonts w:hint="eastAsia" w:ascii="宋体" w:hAnsi="宋体"/>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法人、其他组织投标时“我方”是指“我单位”，自然人投标时“我方”是指“本人”。</w:t>
      </w:r>
    </w:p>
    <w:p w14:paraId="74B05043">
      <w:pPr>
        <w:shd w:val="clear"/>
        <w:spacing w:line="440" w:lineRule="exact"/>
        <w:ind w:firstLine="480" w:firstLineChars="200"/>
        <w:contextualSpacing/>
        <w:jc w:val="left"/>
        <w:rPr>
          <w:rFonts w:hint="eastAsia" w:ascii="宋体" w:hAnsi="宋体"/>
          <w:color w:val="auto"/>
          <w:sz w:val="24"/>
          <w:highlight w:val="none"/>
        </w:rPr>
      </w:pPr>
      <w:r>
        <w:rPr>
          <w:rFonts w:ascii="宋体" w:hAnsi="宋体"/>
          <w:color w:val="auto"/>
          <w:sz w:val="24"/>
          <w:highlight w:val="none"/>
        </w:rPr>
        <w:br w:type="page"/>
      </w:r>
    </w:p>
    <w:p w14:paraId="5CE9535F">
      <w:pPr>
        <w:shd w:val="clear"/>
        <w:rPr>
          <w:rFonts w:hint="eastAsia" w:ascii="宋体" w:hAnsi="宋体"/>
          <w:color w:val="auto"/>
          <w:sz w:val="24"/>
          <w:highlight w:val="none"/>
        </w:rPr>
      </w:pPr>
    </w:p>
    <w:p w14:paraId="4F1FE807">
      <w:pPr>
        <w:shd w:val="clear"/>
        <w:rPr>
          <w:rFonts w:hint="eastAsia" w:ascii="宋体" w:hAnsi="宋体"/>
          <w:b/>
          <w:color w:val="auto"/>
          <w:sz w:val="24"/>
          <w:szCs w:val="20"/>
          <w:highlight w:val="none"/>
        </w:rPr>
      </w:pPr>
      <w:r>
        <w:rPr>
          <w:rFonts w:hint="eastAsia" w:ascii="宋体" w:hAnsi="宋体"/>
          <w:b/>
          <w:color w:val="auto"/>
          <w:sz w:val="24"/>
          <w:highlight w:val="none"/>
        </w:rPr>
        <w:t>6.商务条款偏离表格式(注：按项目需求表具体项目修改)</w:t>
      </w:r>
    </w:p>
    <w:p w14:paraId="10CBD36D">
      <w:pPr>
        <w:shd w:val="clear"/>
        <w:snapToGrid w:val="0"/>
        <w:spacing w:before="50"/>
        <w:jc w:val="left"/>
        <w:rPr>
          <w:rFonts w:hint="eastAsia" w:ascii="宋体" w:hAnsi="宋体"/>
          <w:color w:val="auto"/>
          <w:sz w:val="24"/>
          <w:highlight w:val="none"/>
        </w:rPr>
      </w:pPr>
    </w:p>
    <w:p w14:paraId="1D78AB9B">
      <w:pPr>
        <w:pStyle w:val="26"/>
        <w:shd w:val="clear"/>
        <w:rPr>
          <w:rFonts w:hint="eastAsia"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tbl>
      <w:tblPr>
        <w:tblStyle w:val="48"/>
        <w:tblpPr w:leftFromText="180" w:rightFromText="180" w:vertAnchor="text" w:horzAnchor="margin" w:tblpXSpec="center" w:tblpY="94"/>
        <w:tblW w:w="96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3784"/>
        <w:gridCol w:w="3330"/>
        <w:gridCol w:w="1723"/>
      </w:tblGrid>
      <w:tr w14:paraId="533DE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771" w:type="dxa"/>
            <w:tcBorders>
              <w:top w:val="single" w:color="auto" w:sz="4" w:space="0"/>
              <w:left w:val="single" w:color="auto" w:sz="4" w:space="0"/>
              <w:bottom w:val="single" w:color="auto" w:sz="4" w:space="0"/>
              <w:right w:val="single" w:color="auto" w:sz="4" w:space="0"/>
            </w:tcBorders>
            <w:vAlign w:val="center"/>
          </w:tcPr>
          <w:p w14:paraId="0E2BB5A2">
            <w:pPr>
              <w:shd w:val="clear"/>
              <w:jc w:val="center"/>
              <w:rPr>
                <w:rFonts w:hint="eastAsia" w:ascii="宋体" w:hAnsi="宋体" w:cs="宋体"/>
                <w:color w:val="auto"/>
                <w:szCs w:val="21"/>
                <w:highlight w:val="none"/>
              </w:rPr>
            </w:pPr>
            <w:r>
              <w:rPr>
                <w:rFonts w:hint="eastAsia" w:ascii="宋体" w:hAnsi="宋体" w:cs="宋体"/>
                <w:color w:val="auto"/>
                <w:szCs w:val="21"/>
                <w:highlight w:val="none"/>
              </w:rPr>
              <w:t>项号及名称</w:t>
            </w:r>
          </w:p>
        </w:tc>
        <w:tc>
          <w:tcPr>
            <w:tcW w:w="3784" w:type="dxa"/>
            <w:tcBorders>
              <w:top w:val="single" w:color="auto" w:sz="4" w:space="0"/>
              <w:left w:val="single" w:color="auto" w:sz="4" w:space="0"/>
              <w:bottom w:val="single" w:color="auto" w:sz="4" w:space="0"/>
              <w:right w:val="single" w:color="auto" w:sz="4" w:space="0"/>
            </w:tcBorders>
            <w:vAlign w:val="center"/>
          </w:tcPr>
          <w:p w14:paraId="0CBC63CE">
            <w:pPr>
              <w:shd w:val="clear"/>
              <w:jc w:val="center"/>
              <w:rPr>
                <w:rFonts w:hint="eastAsia" w:ascii="宋体" w:hAnsi="宋体" w:cs="宋体"/>
                <w:color w:val="auto"/>
                <w:szCs w:val="21"/>
                <w:highlight w:val="none"/>
              </w:rPr>
            </w:pPr>
            <w:r>
              <w:rPr>
                <w:rFonts w:hint="eastAsia" w:ascii="宋体" w:hAnsi="宋体" w:cs="宋体"/>
                <w:color w:val="auto"/>
                <w:szCs w:val="21"/>
                <w:highlight w:val="none"/>
              </w:rPr>
              <w:t>招标文件的商务需求</w:t>
            </w:r>
          </w:p>
        </w:tc>
        <w:tc>
          <w:tcPr>
            <w:tcW w:w="3330" w:type="dxa"/>
            <w:tcBorders>
              <w:top w:val="single" w:color="auto" w:sz="4" w:space="0"/>
              <w:left w:val="single" w:color="auto" w:sz="4" w:space="0"/>
              <w:bottom w:val="single" w:color="auto" w:sz="4" w:space="0"/>
              <w:right w:val="single" w:color="auto" w:sz="4" w:space="0"/>
            </w:tcBorders>
            <w:vAlign w:val="center"/>
          </w:tcPr>
          <w:p w14:paraId="11DAF328">
            <w:pPr>
              <w:shd w:val="clear"/>
              <w:jc w:val="center"/>
              <w:rPr>
                <w:rFonts w:hint="eastAsia" w:ascii="宋体" w:hAnsi="宋体" w:cs="宋体"/>
                <w:color w:val="auto"/>
                <w:szCs w:val="21"/>
                <w:highlight w:val="none"/>
              </w:rPr>
            </w:pPr>
            <w:r>
              <w:rPr>
                <w:rFonts w:hint="eastAsia" w:ascii="宋体" w:hAnsi="宋体" w:cs="宋体"/>
                <w:color w:val="auto"/>
                <w:szCs w:val="21"/>
                <w:highlight w:val="none"/>
              </w:rPr>
              <w:t>投标文件承诺的商务条款</w:t>
            </w:r>
          </w:p>
        </w:tc>
        <w:tc>
          <w:tcPr>
            <w:tcW w:w="1723" w:type="dxa"/>
            <w:tcBorders>
              <w:top w:val="single" w:color="auto" w:sz="4" w:space="0"/>
              <w:left w:val="single" w:color="auto" w:sz="4" w:space="0"/>
              <w:bottom w:val="single" w:color="auto" w:sz="4" w:space="0"/>
              <w:right w:val="single" w:color="auto" w:sz="4" w:space="0"/>
            </w:tcBorders>
            <w:vAlign w:val="center"/>
          </w:tcPr>
          <w:p w14:paraId="45E55F50">
            <w:pPr>
              <w:shd w:val="clear"/>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597D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771" w:type="dxa"/>
            <w:tcBorders>
              <w:top w:val="single" w:color="auto" w:sz="4" w:space="0"/>
              <w:left w:val="single" w:color="auto" w:sz="4" w:space="0"/>
              <w:right w:val="single" w:color="auto" w:sz="4" w:space="0"/>
            </w:tcBorders>
            <w:vAlign w:val="center"/>
          </w:tcPr>
          <w:p w14:paraId="19FB6539">
            <w:pPr>
              <w:shd w:val="clear"/>
              <w:spacing w:line="340" w:lineRule="exact"/>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p w14:paraId="1FF7F400">
            <w:pPr>
              <w:shd w:val="clea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XXX</w:t>
            </w:r>
          </w:p>
        </w:tc>
        <w:tc>
          <w:tcPr>
            <w:tcW w:w="3784" w:type="dxa"/>
            <w:tcBorders>
              <w:top w:val="single" w:color="auto" w:sz="4" w:space="0"/>
              <w:left w:val="single" w:color="auto" w:sz="4" w:space="0"/>
              <w:bottom w:val="single" w:color="auto" w:sz="4" w:space="0"/>
              <w:right w:val="single" w:color="auto" w:sz="4" w:space="0"/>
            </w:tcBorders>
            <w:vAlign w:val="center"/>
          </w:tcPr>
          <w:p w14:paraId="17B812D5">
            <w:pPr>
              <w:shd w:val="clear"/>
              <w:spacing w:line="340" w:lineRule="exact"/>
              <w:jc w:val="left"/>
              <w:rPr>
                <w:rFonts w:hint="eastAsia" w:ascii="宋体" w:hAnsi="宋体" w:cs="宋体"/>
                <w:color w:val="auto"/>
                <w:szCs w:val="21"/>
                <w:highlight w:val="none"/>
              </w:rPr>
            </w:pPr>
          </w:p>
        </w:tc>
        <w:tc>
          <w:tcPr>
            <w:tcW w:w="3330" w:type="dxa"/>
            <w:tcBorders>
              <w:top w:val="single" w:color="auto" w:sz="4" w:space="0"/>
              <w:left w:val="single" w:color="auto" w:sz="4" w:space="0"/>
              <w:right w:val="single" w:color="auto" w:sz="4" w:space="0"/>
            </w:tcBorders>
            <w:vAlign w:val="center"/>
          </w:tcPr>
          <w:p w14:paraId="10AD9940">
            <w:pPr>
              <w:shd w:val="clear"/>
              <w:spacing w:line="340" w:lineRule="exact"/>
              <w:jc w:val="left"/>
              <w:rPr>
                <w:rFonts w:hint="eastAsia" w:ascii="宋体" w:hAnsi="宋体" w:cs="宋体"/>
                <w:color w:val="auto"/>
                <w:szCs w:val="21"/>
                <w:highlight w:val="none"/>
              </w:rPr>
            </w:pPr>
          </w:p>
        </w:tc>
        <w:tc>
          <w:tcPr>
            <w:tcW w:w="1723" w:type="dxa"/>
            <w:tcBorders>
              <w:top w:val="single" w:color="auto" w:sz="4" w:space="0"/>
              <w:left w:val="single" w:color="auto" w:sz="4" w:space="0"/>
              <w:right w:val="single" w:color="auto" w:sz="4" w:space="0"/>
            </w:tcBorders>
            <w:vAlign w:val="center"/>
          </w:tcPr>
          <w:p w14:paraId="05B981D5">
            <w:pPr>
              <w:shd w:val="clea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正偏离（负偏离或无偏 离）</w:t>
            </w:r>
          </w:p>
        </w:tc>
      </w:tr>
      <w:tr w14:paraId="03FB1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771" w:type="dxa"/>
            <w:tcBorders>
              <w:left w:val="single" w:color="auto" w:sz="4" w:space="0"/>
              <w:right w:val="single" w:color="auto" w:sz="4" w:space="0"/>
            </w:tcBorders>
            <w:vAlign w:val="center"/>
          </w:tcPr>
          <w:p w14:paraId="6F174ACD">
            <w:pPr>
              <w:shd w:val="clear"/>
              <w:spacing w:line="340" w:lineRule="exact"/>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w:t>
            </w:r>
          </w:p>
          <w:p w14:paraId="27637AF3">
            <w:pPr>
              <w:shd w:val="clea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XXX</w:t>
            </w:r>
          </w:p>
        </w:tc>
        <w:tc>
          <w:tcPr>
            <w:tcW w:w="3784" w:type="dxa"/>
            <w:tcBorders>
              <w:top w:val="single" w:color="auto" w:sz="4" w:space="0"/>
              <w:left w:val="single" w:color="auto" w:sz="4" w:space="0"/>
              <w:bottom w:val="single" w:color="auto" w:sz="4" w:space="0"/>
              <w:right w:val="single" w:color="auto" w:sz="4" w:space="0"/>
            </w:tcBorders>
            <w:vAlign w:val="center"/>
          </w:tcPr>
          <w:p w14:paraId="73E7442F">
            <w:pPr>
              <w:shd w:val="clear"/>
              <w:spacing w:line="340" w:lineRule="exact"/>
              <w:jc w:val="left"/>
              <w:rPr>
                <w:rFonts w:hint="eastAsia" w:ascii="宋体" w:hAnsi="宋体" w:cs="宋体"/>
                <w:color w:val="auto"/>
                <w:szCs w:val="21"/>
                <w:highlight w:val="none"/>
              </w:rPr>
            </w:pPr>
          </w:p>
        </w:tc>
        <w:tc>
          <w:tcPr>
            <w:tcW w:w="3330" w:type="dxa"/>
            <w:tcBorders>
              <w:left w:val="single" w:color="auto" w:sz="4" w:space="0"/>
              <w:bottom w:val="single" w:color="auto" w:sz="4" w:space="0"/>
              <w:right w:val="single" w:color="auto" w:sz="4" w:space="0"/>
            </w:tcBorders>
            <w:vAlign w:val="center"/>
          </w:tcPr>
          <w:p w14:paraId="4D7288CC">
            <w:pPr>
              <w:shd w:val="clear"/>
              <w:spacing w:line="340" w:lineRule="exact"/>
              <w:jc w:val="left"/>
              <w:rPr>
                <w:rFonts w:hint="eastAsia" w:ascii="宋体" w:hAnsi="宋体" w:cs="宋体"/>
                <w:color w:val="auto"/>
                <w:szCs w:val="21"/>
                <w:highlight w:val="none"/>
              </w:rPr>
            </w:pPr>
          </w:p>
        </w:tc>
        <w:tc>
          <w:tcPr>
            <w:tcW w:w="1723" w:type="dxa"/>
            <w:tcBorders>
              <w:left w:val="single" w:color="auto" w:sz="4" w:space="0"/>
              <w:bottom w:val="single" w:color="auto" w:sz="4" w:space="0"/>
              <w:right w:val="single" w:color="auto" w:sz="4" w:space="0"/>
            </w:tcBorders>
            <w:vAlign w:val="center"/>
          </w:tcPr>
          <w:p w14:paraId="5A582E24">
            <w:pPr>
              <w:shd w:val="clea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正偏离（负偏离或无偏 离）</w:t>
            </w:r>
          </w:p>
        </w:tc>
      </w:tr>
      <w:tr w14:paraId="20EA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771" w:type="dxa"/>
            <w:tcBorders>
              <w:left w:val="single" w:color="auto" w:sz="4" w:space="0"/>
              <w:right w:val="single" w:color="auto" w:sz="4" w:space="0"/>
            </w:tcBorders>
            <w:vAlign w:val="center"/>
          </w:tcPr>
          <w:p w14:paraId="5A5BB848">
            <w:pPr>
              <w:shd w:val="clea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3784" w:type="dxa"/>
            <w:tcBorders>
              <w:top w:val="single" w:color="auto" w:sz="4" w:space="0"/>
              <w:left w:val="single" w:color="auto" w:sz="4" w:space="0"/>
              <w:bottom w:val="single" w:color="auto" w:sz="4" w:space="0"/>
              <w:right w:val="single" w:color="auto" w:sz="4" w:space="0"/>
            </w:tcBorders>
            <w:vAlign w:val="center"/>
          </w:tcPr>
          <w:p w14:paraId="206B0B4D">
            <w:pPr>
              <w:shd w:val="clear"/>
              <w:spacing w:line="340" w:lineRule="exact"/>
              <w:jc w:val="left"/>
              <w:rPr>
                <w:rFonts w:hint="eastAsia" w:ascii="宋体" w:hAnsi="宋体" w:cs="宋体"/>
                <w:color w:val="auto"/>
                <w:szCs w:val="21"/>
                <w:highlight w:val="none"/>
              </w:rPr>
            </w:pPr>
          </w:p>
        </w:tc>
        <w:tc>
          <w:tcPr>
            <w:tcW w:w="3330" w:type="dxa"/>
            <w:tcBorders>
              <w:left w:val="single" w:color="auto" w:sz="4" w:space="0"/>
              <w:bottom w:val="single" w:color="auto" w:sz="4" w:space="0"/>
              <w:right w:val="single" w:color="auto" w:sz="4" w:space="0"/>
            </w:tcBorders>
            <w:vAlign w:val="center"/>
          </w:tcPr>
          <w:p w14:paraId="686DDDB8">
            <w:pPr>
              <w:shd w:val="clear"/>
              <w:spacing w:line="340" w:lineRule="exact"/>
              <w:jc w:val="left"/>
              <w:rPr>
                <w:rFonts w:hint="eastAsia" w:ascii="宋体" w:hAnsi="宋体" w:cs="宋体"/>
                <w:color w:val="auto"/>
                <w:szCs w:val="21"/>
                <w:highlight w:val="none"/>
              </w:rPr>
            </w:pPr>
          </w:p>
        </w:tc>
        <w:tc>
          <w:tcPr>
            <w:tcW w:w="1723" w:type="dxa"/>
            <w:tcBorders>
              <w:left w:val="single" w:color="auto" w:sz="4" w:space="0"/>
              <w:bottom w:val="single" w:color="auto" w:sz="4" w:space="0"/>
              <w:right w:val="single" w:color="auto" w:sz="4" w:space="0"/>
            </w:tcBorders>
            <w:vAlign w:val="center"/>
          </w:tcPr>
          <w:p w14:paraId="2855BF54">
            <w:pPr>
              <w:shd w:val="clea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正偏离（负偏离或无偏 离）</w:t>
            </w:r>
          </w:p>
        </w:tc>
      </w:tr>
      <w:tr w14:paraId="0B2A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608" w:type="dxa"/>
            <w:gridSpan w:val="4"/>
            <w:tcBorders>
              <w:top w:val="single" w:color="auto" w:sz="4" w:space="0"/>
              <w:left w:val="single" w:color="auto" w:sz="4" w:space="0"/>
              <w:bottom w:val="single" w:color="auto" w:sz="4" w:space="0"/>
              <w:right w:val="single" w:color="auto" w:sz="4" w:space="0"/>
            </w:tcBorders>
            <w:vAlign w:val="center"/>
          </w:tcPr>
          <w:p w14:paraId="4CD97E9E">
            <w:pPr>
              <w:shd w:val="clear"/>
              <w:spacing w:line="300" w:lineRule="exact"/>
              <w:rPr>
                <w:rFonts w:hint="eastAsia" w:ascii="宋体" w:hAnsi="宋体" w:cs="宋体"/>
                <w:color w:val="auto"/>
                <w:szCs w:val="21"/>
                <w:highlight w:val="none"/>
              </w:rPr>
            </w:pPr>
            <w:r>
              <w:rPr>
                <w:rFonts w:hint="eastAsia" w:ascii="宋体" w:hAnsi="宋体" w:cs="宋体"/>
                <w:b/>
                <w:bCs/>
                <w:color w:val="auto"/>
                <w:sz w:val="24"/>
                <w:highlight w:val="none"/>
                <w:u w:val="single"/>
              </w:rPr>
              <w:t xml:space="preserve">       </w:t>
            </w:r>
            <w:r>
              <w:rPr>
                <w:rFonts w:hint="eastAsia" w:ascii="宋体" w:hAnsi="宋体" w:cs="宋体"/>
                <w:color w:val="auto"/>
                <w:szCs w:val="21"/>
                <w:highlight w:val="none"/>
              </w:rPr>
              <w:t>分标（此处有分标时填写具体分标号，无分标时填写“无”）</w:t>
            </w:r>
          </w:p>
        </w:tc>
      </w:tr>
    </w:tbl>
    <w:p w14:paraId="7426EAE7">
      <w:pPr>
        <w:shd w:val="clear"/>
        <w:snapToGrid w:val="0"/>
        <w:spacing w:before="50"/>
        <w:jc w:val="left"/>
        <w:rPr>
          <w:rFonts w:hint="eastAsia" w:ascii="宋体" w:hAnsi="宋体"/>
          <w:color w:val="auto"/>
          <w:sz w:val="24"/>
          <w:highlight w:val="none"/>
          <w:u w:val="single"/>
        </w:rPr>
      </w:pPr>
    </w:p>
    <w:p w14:paraId="78BBF915">
      <w:pPr>
        <w:pStyle w:val="18"/>
        <w:shd w:val="clear"/>
        <w:rPr>
          <w:rFonts w:hint="eastAsia" w:ascii="宋体" w:hAnsi="宋体"/>
          <w:color w:val="auto"/>
          <w:highlight w:val="none"/>
        </w:rPr>
      </w:pPr>
      <w:r>
        <w:rPr>
          <w:rFonts w:hint="eastAsia" w:ascii="宋体" w:hAnsi="宋体"/>
          <w:color w:val="auto"/>
          <w:highlight w:val="none"/>
        </w:rPr>
        <w:t>注：</w:t>
      </w:r>
    </w:p>
    <w:p w14:paraId="5011EF72">
      <w:pPr>
        <w:pStyle w:val="20"/>
        <w:shd w:val="clear"/>
        <w:spacing w:line="360" w:lineRule="auto"/>
        <w:ind w:firstLine="0" w:firstLineChars="0"/>
        <w:rPr>
          <w:rFonts w:hint="eastAsia" w:hAnsi="仿宋_GB2312" w:cs="仿宋_GB2312"/>
          <w:color w:val="auto"/>
          <w:szCs w:val="32"/>
          <w:highlight w:val="none"/>
        </w:rPr>
      </w:pPr>
      <w:r>
        <w:rPr>
          <w:rFonts w:hint="eastAsia" w:ascii="宋体" w:hAnsi="宋体" w:eastAsia="宋体"/>
          <w:color w:val="auto"/>
          <w:sz w:val="24"/>
          <w:szCs w:val="24"/>
          <w:highlight w:val="none"/>
        </w:rPr>
        <w:t>1.</w:t>
      </w:r>
      <w:r>
        <w:rPr>
          <w:rFonts w:hint="eastAsia"/>
          <w:color w:val="auto"/>
          <w:highlight w:val="none"/>
        </w:rPr>
        <w:t xml:space="preserve"> </w:t>
      </w:r>
      <w:r>
        <w:rPr>
          <w:rFonts w:hint="eastAsia" w:ascii="宋体" w:hAnsi="宋体" w:eastAsia="宋体"/>
          <w:color w:val="auto"/>
          <w:sz w:val="24"/>
          <w:szCs w:val="24"/>
          <w:highlight w:val="none"/>
        </w:rPr>
        <w:t>说明：应对照招标文件“第二章 采购需求”中的“商务要求”逐条作明确的投标响应，并作出偏离说明。</w:t>
      </w:r>
    </w:p>
    <w:p w14:paraId="1B6E801C">
      <w:pPr>
        <w:pStyle w:val="18"/>
        <w:shd w:val="clear"/>
        <w:spacing w:line="360" w:lineRule="auto"/>
        <w:rPr>
          <w:rFonts w:hint="eastAsia" w:ascii="宋体" w:hAnsi="宋体"/>
          <w:b w:val="0"/>
          <w:bCs w:val="0"/>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投标人应根据自身的承诺，对照招标文件要求在“偏离说明”中注明“</w:t>
      </w:r>
      <w:r>
        <w:rPr>
          <w:rFonts w:hint="eastAsia" w:ascii="宋体" w:hAnsi="宋体"/>
          <w:color w:val="auto"/>
          <w:highlight w:val="none"/>
        </w:rPr>
        <w:t>正偏离</w:t>
      </w:r>
      <w:r>
        <w:rPr>
          <w:rFonts w:hint="eastAsia" w:ascii="宋体" w:hAnsi="宋体"/>
          <w:b w:val="0"/>
          <w:bCs w:val="0"/>
          <w:color w:val="auto"/>
          <w:highlight w:val="none"/>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7ECBCD56">
      <w:pPr>
        <w:shd w:val="clear"/>
        <w:snapToGrid w:val="0"/>
        <w:spacing w:before="50" w:after="50"/>
        <w:rPr>
          <w:rFonts w:hint="eastAsia" w:ascii="宋体" w:hAnsi="宋体"/>
          <w:color w:val="auto"/>
          <w:sz w:val="24"/>
          <w:highlight w:val="none"/>
        </w:rPr>
      </w:pPr>
    </w:p>
    <w:p w14:paraId="604308C6">
      <w:pPr>
        <w:shd w:val="clear"/>
        <w:snapToGrid w:val="0"/>
        <w:spacing w:before="50" w:after="50"/>
        <w:rPr>
          <w:rFonts w:hint="eastAsia" w:ascii="宋体" w:hAnsi="宋体"/>
          <w:color w:val="auto"/>
          <w:sz w:val="24"/>
          <w:highlight w:val="none"/>
        </w:rPr>
      </w:pPr>
    </w:p>
    <w:p w14:paraId="22F55511">
      <w:pPr>
        <w:shd w:val="clear"/>
        <w:snapToGrid w:val="0"/>
        <w:spacing w:before="50" w:after="50"/>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r>
        <w:rPr>
          <w:rFonts w:hint="eastAsia" w:ascii="宋体" w:hAnsi="宋体"/>
          <w:color w:val="auto"/>
          <w:spacing w:val="20"/>
          <w:sz w:val="24"/>
          <w:highlight w:val="none"/>
          <w:u w:val="single"/>
        </w:rPr>
        <w:t xml:space="preserve">        </w:t>
      </w:r>
    </w:p>
    <w:p w14:paraId="778720DB">
      <w:pPr>
        <w:shd w:val="clear"/>
        <w:snapToGrid w:val="0"/>
        <w:spacing w:before="120" w:beforeLines="50"/>
        <w:rPr>
          <w:rFonts w:hint="eastAsia" w:ascii="宋体" w:hAnsi="宋体"/>
          <w:color w:val="auto"/>
          <w:spacing w:val="20"/>
          <w:sz w:val="24"/>
          <w:highlight w:val="none"/>
        </w:rPr>
      </w:pPr>
      <w:r>
        <w:rPr>
          <w:rFonts w:hint="eastAsia" w:ascii="宋体" w:hAnsi="宋体"/>
          <w:color w:val="auto"/>
          <w:spacing w:val="20"/>
          <w:sz w:val="24"/>
          <w:highlight w:val="none"/>
        </w:rPr>
        <w:t>投标人</w:t>
      </w:r>
      <w:r>
        <w:rPr>
          <w:rFonts w:hint="eastAsia" w:ascii="宋体" w:hAnsi="宋体"/>
          <w:color w:val="auto"/>
          <w:spacing w:val="20"/>
          <w:sz w:val="24"/>
          <w:highlight w:val="none"/>
          <w:lang w:eastAsia="zh-CN"/>
        </w:rPr>
        <w:t>（</w:t>
      </w:r>
      <w:r>
        <w:rPr>
          <w:rFonts w:hint="eastAsia" w:ascii="宋体" w:hAnsi="宋体"/>
          <w:color w:val="auto"/>
          <w:spacing w:val="20"/>
          <w:sz w:val="24"/>
          <w:highlight w:val="none"/>
        </w:rPr>
        <w:t>盖</w:t>
      </w:r>
      <w:r>
        <w:rPr>
          <w:rFonts w:hint="eastAsia" w:ascii="宋体" w:hAnsi="宋体"/>
          <w:color w:val="auto"/>
          <w:spacing w:val="20"/>
          <w:sz w:val="24"/>
          <w:highlight w:val="none"/>
          <w:lang w:val="en-US" w:eastAsia="zh-CN"/>
        </w:rPr>
        <w:t>公章</w:t>
      </w:r>
      <w:r>
        <w:rPr>
          <w:rFonts w:hint="eastAsia" w:ascii="宋体" w:hAnsi="宋体"/>
          <w:color w:val="auto"/>
          <w:spacing w:val="20"/>
          <w:sz w:val="24"/>
          <w:highlight w:val="none"/>
          <w:lang w:eastAsia="zh-CN"/>
        </w:rPr>
        <w:t>）</w:t>
      </w:r>
      <w:r>
        <w:rPr>
          <w:rFonts w:hint="eastAsia" w:ascii="宋体" w:hAnsi="宋体"/>
          <w:color w:val="auto"/>
          <w:spacing w:val="20"/>
          <w:sz w:val="24"/>
          <w:highlight w:val="none"/>
        </w:rPr>
        <w:t>：</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7D7C3B85">
      <w:pPr>
        <w:shd w:val="clear"/>
        <w:snapToGrid w:val="0"/>
        <w:spacing w:before="120" w:beforeLines="50"/>
        <w:rPr>
          <w:rFonts w:hint="eastAsia"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6033C04D">
      <w:pPr>
        <w:shd w:val="clear"/>
        <w:snapToGrid w:val="0"/>
        <w:spacing w:before="120" w:beforeLines="50"/>
        <w:rPr>
          <w:rFonts w:hint="eastAsia" w:ascii="宋体" w:hAnsi="宋体"/>
          <w:color w:val="auto"/>
          <w:sz w:val="24"/>
          <w:szCs w:val="20"/>
          <w:highlight w:val="none"/>
        </w:rPr>
      </w:pPr>
    </w:p>
    <w:p w14:paraId="62A22F72">
      <w:pPr>
        <w:shd w:val="clear"/>
        <w:snapToGrid w:val="0"/>
        <w:spacing w:before="120" w:beforeLines="50" w:after="50"/>
        <w:jc w:val="left"/>
        <w:rPr>
          <w:rFonts w:hint="eastAsia" w:ascii="宋体" w:hAnsi="宋体"/>
          <w:color w:val="auto"/>
          <w:sz w:val="24"/>
          <w:szCs w:val="20"/>
          <w:highlight w:val="none"/>
        </w:rPr>
      </w:pPr>
    </w:p>
    <w:p w14:paraId="79E9849F">
      <w:pPr>
        <w:shd w:val="clear"/>
        <w:snapToGrid w:val="0"/>
        <w:spacing w:before="120" w:beforeLines="50" w:after="50"/>
        <w:jc w:val="left"/>
        <w:rPr>
          <w:rFonts w:hint="eastAsia" w:ascii="宋体" w:hAnsi="宋体"/>
          <w:b/>
          <w:color w:val="auto"/>
          <w:sz w:val="24"/>
          <w:highlight w:val="none"/>
        </w:rPr>
      </w:pPr>
      <w:r>
        <w:rPr>
          <w:rFonts w:ascii="宋体" w:hAnsi="宋体"/>
          <w:color w:val="auto"/>
          <w:sz w:val="24"/>
          <w:szCs w:val="20"/>
          <w:highlight w:val="none"/>
        </w:rPr>
        <w:br w:type="page"/>
      </w:r>
      <w:r>
        <w:rPr>
          <w:rFonts w:hint="eastAsia" w:ascii="宋体" w:hAnsi="宋体"/>
          <w:b/>
          <w:color w:val="auto"/>
          <w:sz w:val="24"/>
          <w:highlight w:val="none"/>
        </w:rPr>
        <w:t>7.投标人业绩证明材料</w:t>
      </w:r>
    </w:p>
    <w:p w14:paraId="28BCECB2">
      <w:pPr>
        <w:pStyle w:val="36"/>
        <w:shd w:val="clear"/>
        <w:snapToGrid w:val="0"/>
        <w:ind w:left="480" w:hanging="480"/>
        <w:rPr>
          <w:rFonts w:hint="eastAsia" w:ascii="宋体" w:hAnsi="宋体"/>
          <w:color w:val="auto"/>
          <w:sz w:val="24"/>
          <w:highlight w:val="none"/>
        </w:rPr>
      </w:pPr>
    </w:p>
    <w:p w14:paraId="368B6FB4">
      <w:pPr>
        <w:pStyle w:val="36"/>
        <w:shd w:val="clear"/>
        <w:snapToGrid w:val="0"/>
        <w:ind w:left="480" w:hanging="480"/>
        <w:rPr>
          <w:rFonts w:hint="eastAsia" w:ascii="宋体" w:hAnsi="宋体"/>
          <w:color w:val="auto"/>
          <w:sz w:val="24"/>
          <w:highlight w:val="none"/>
        </w:rPr>
      </w:pPr>
      <w:r>
        <w:rPr>
          <w:rFonts w:hint="eastAsia" w:ascii="宋体" w:hAnsi="宋体"/>
          <w:color w:val="auto"/>
          <w:sz w:val="24"/>
          <w:highlight w:val="none"/>
        </w:rPr>
        <w:t xml:space="preserve">投标人业绩情况一览表格式： </w:t>
      </w:r>
    </w:p>
    <w:tbl>
      <w:tblPr>
        <w:tblStyle w:val="48"/>
        <w:tblW w:w="499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22"/>
        <w:gridCol w:w="1100"/>
        <w:gridCol w:w="1100"/>
        <w:gridCol w:w="1412"/>
        <w:gridCol w:w="1976"/>
        <w:gridCol w:w="1267"/>
        <w:gridCol w:w="1777"/>
      </w:tblGrid>
      <w:tr w14:paraId="7C730B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03" w:hRule="atLeast"/>
        </w:trPr>
        <w:tc>
          <w:tcPr>
            <w:tcW w:w="664" w:type="pct"/>
            <w:tcBorders>
              <w:top w:val="single" w:color="auto" w:sz="4" w:space="0"/>
              <w:left w:val="single" w:color="auto" w:sz="4" w:space="0"/>
              <w:bottom w:val="single" w:color="auto" w:sz="4" w:space="0"/>
              <w:right w:val="single" w:color="auto" w:sz="4" w:space="0"/>
            </w:tcBorders>
            <w:vAlign w:val="center"/>
          </w:tcPr>
          <w:p w14:paraId="4E648C65">
            <w:pPr>
              <w:shd w:val="clear"/>
              <w:snapToGrid w:val="0"/>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552" w:type="pct"/>
            <w:tcBorders>
              <w:top w:val="single" w:color="auto" w:sz="4" w:space="0"/>
              <w:left w:val="single" w:color="auto" w:sz="4" w:space="0"/>
              <w:bottom w:val="single" w:color="auto" w:sz="4" w:space="0"/>
              <w:right w:val="single" w:color="auto" w:sz="4" w:space="0"/>
            </w:tcBorders>
            <w:vAlign w:val="center"/>
          </w:tcPr>
          <w:p w14:paraId="467240F1">
            <w:pPr>
              <w:shd w:val="clear"/>
              <w:snapToGrid w:val="0"/>
              <w:jc w:val="center"/>
              <w:rPr>
                <w:rFonts w:hint="eastAsia" w:ascii="宋体" w:hAnsi="宋体"/>
                <w:color w:val="auto"/>
                <w:sz w:val="24"/>
                <w:highlight w:val="none"/>
              </w:rPr>
            </w:pPr>
            <w:r>
              <w:rPr>
                <w:rFonts w:hint="eastAsia" w:ascii="宋体" w:hAnsi="宋体"/>
                <w:color w:val="auto"/>
                <w:sz w:val="24"/>
                <w:highlight w:val="none"/>
              </w:rPr>
              <w:t>项目名称</w:t>
            </w:r>
          </w:p>
        </w:tc>
        <w:tc>
          <w:tcPr>
            <w:tcW w:w="552" w:type="pct"/>
            <w:tcBorders>
              <w:top w:val="single" w:color="auto" w:sz="4" w:space="0"/>
              <w:left w:val="single" w:color="auto" w:sz="4" w:space="0"/>
              <w:bottom w:val="single" w:color="auto" w:sz="4" w:space="0"/>
              <w:right w:val="single" w:color="auto" w:sz="4" w:space="0"/>
            </w:tcBorders>
            <w:vAlign w:val="center"/>
          </w:tcPr>
          <w:p w14:paraId="38C8E23F">
            <w:pPr>
              <w:shd w:val="clear"/>
              <w:snapToGrid w:val="0"/>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服务内容</w:t>
            </w:r>
          </w:p>
        </w:tc>
        <w:tc>
          <w:tcPr>
            <w:tcW w:w="709" w:type="pct"/>
            <w:tcBorders>
              <w:top w:val="single" w:color="auto" w:sz="4" w:space="0"/>
              <w:left w:val="single" w:color="auto" w:sz="4" w:space="0"/>
              <w:bottom w:val="single" w:color="auto" w:sz="4" w:space="0"/>
              <w:right w:val="single" w:color="auto" w:sz="4" w:space="0"/>
            </w:tcBorders>
            <w:vAlign w:val="center"/>
          </w:tcPr>
          <w:p w14:paraId="6D650149">
            <w:pPr>
              <w:shd w:val="clear"/>
              <w:snapToGrid w:val="0"/>
              <w:jc w:val="center"/>
              <w:rPr>
                <w:rFonts w:hint="eastAsia" w:ascii="宋体" w:hAnsi="宋体"/>
                <w:color w:val="auto"/>
                <w:sz w:val="24"/>
                <w:highlight w:val="none"/>
              </w:rPr>
            </w:pPr>
            <w:r>
              <w:rPr>
                <w:rFonts w:hint="eastAsia" w:ascii="宋体" w:hAnsi="宋体"/>
                <w:color w:val="auto"/>
                <w:sz w:val="24"/>
                <w:highlight w:val="none"/>
              </w:rPr>
              <w:t>合同金额</w:t>
            </w:r>
          </w:p>
          <w:p w14:paraId="47270110">
            <w:pPr>
              <w:shd w:val="clear"/>
              <w:snapToGrid w:val="0"/>
              <w:jc w:val="center"/>
              <w:rPr>
                <w:rFonts w:hint="eastAsia" w:ascii="宋体" w:hAnsi="宋体"/>
                <w:color w:val="auto"/>
                <w:sz w:val="24"/>
                <w:highlight w:val="none"/>
              </w:rPr>
            </w:pPr>
            <w:r>
              <w:rPr>
                <w:rFonts w:hint="eastAsia" w:ascii="宋体" w:hAnsi="宋体"/>
                <w:color w:val="auto"/>
                <w:sz w:val="24"/>
                <w:highlight w:val="none"/>
              </w:rPr>
              <w:t>（万元）</w:t>
            </w:r>
          </w:p>
        </w:tc>
        <w:tc>
          <w:tcPr>
            <w:tcW w:w="992" w:type="pct"/>
            <w:tcBorders>
              <w:top w:val="single" w:color="auto" w:sz="4" w:space="0"/>
              <w:left w:val="single" w:color="auto" w:sz="4" w:space="0"/>
              <w:bottom w:val="single" w:color="auto" w:sz="4" w:space="0"/>
              <w:right w:val="single" w:color="auto" w:sz="4" w:space="0"/>
            </w:tcBorders>
            <w:vAlign w:val="center"/>
          </w:tcPr>
          <w:p w14:paraId="6EFBD4C7">
            <w:pPr>
              <w:shd w:val="clear"/>
              <w:snapToGrid w:val="0"/>
              <w:jc w:val="center"/>
              <w:rPr>
                <w:rFonts w:hint="eastAsia" w:ascii="宋体" w:hAnsi="宋体"/>
                <w:color w:val="auto"/>
                <w:sz w:val="24"/>
                <w:highlight w:val="none"/>
              </w:rPr>
            </w:pPr>
            <w:r>
              <w:rPr>
                <w:rFonts w:hint="eastAsia" w:ascii="宋体" w:hAnsi="宋体"/>
                <w:color w:val="auto"/>
                <w:sz w:val="24"/>
                <w:highlight w:val="none"/>
              </w:rPr>
              <w:t>采购人联系人及</w:t>
            </w:r>
          </w:p>
          <w:p w14:paraId="4DEDB10E">
            <w:pPr>
              <w:shd w:val="clear"/>
              <w:snapToGrid w:val="0"/>
              <w:jc w:val="center"/>
              <w:rPr>
                <w:rFonts w:hint="eastAsia" w:ascii="宋体" w:hAnsi="宋体"/>
                <w:color w:val="auto"/>
                <w:sz w:val="24"/>
                <w:highlight w:val="none"/>
              </w:rPr>
            </w:pPr>
            <w:r>
              <w:rPr>
                <w:rFonts w:hint="eastAsia" w:ascii="宋体" w:hAnsi="宋体"/>
                <w:color w:val="auto"/>
                <w:sz w:val="24"/>
                <w:highlight w:val="none"/>
              </w:rPr>
              <w:t>联系电话</w:t>
            </w:r>
          </w:p>
        </w:tc>
        <w:tc>
          <w:tcPr>
            <w:tcW w:w="636" w:type="pct"/>
            <w:tcBorders>
              <w:top w:val="single" w:color="auto" w:sz="4" w:space="0"/>
              <w:left w:val="single" w:color="auto" w:sz="4" w:space="0"/>
              <w:bottom w:val="single" w:color="auto" w:sz="4" w:space="0"/>
              <w:right w:val="single" w:color="auto" w:sz="4" w:space="0"/>
            </w:tcBorders>
            <w:vAlign w:val="center"/>
          </w:tcPr>
          <w:p w14:paraId="01C5E647">
            <w:pPr>
              <w:shd w:val="clear"/>
              <w:snapToGrid w:val="0"/>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合同日期</w:t>
            </w:r>
          </w:p>
        </w:tc>
        <w:tc>
          <w:tcPr>
            <w:tcW w:w="892" w:type="pct"/>
            <w:tcBorders>
              <w:top w:val="single" w:color="auto" w:sz="4" w:space="0"/>
              <w:left w:val="single" w:color="auto" w:sz="4" w:space="0"/>
              <w:bottom w:val="single" w:color="auto" w:sz="4" w:space="0"/>
              <w:right w:val="single" w:color="auto" w:sz="4" w:space="0"/>
            </w:tcBorders>
            <w:vAlign w:val="center"/>
          </w:tcPr>
          <w:p w14:paraId="51FD6A82">
            <w:pPr>
              <w:shd w:val="clear"/>
              <w:snapToGrid w:val="0"/>
              <w:jc w:val="center"/>
              <w:rPr>
                <w:rFonts w:hint="eastAsia" w:ascii="宋体" w:hAnsi="宋体"/>
                <w:color w:val="auto"/>
                <w:sz w:val="24"/>
                <w:highlight w:val="none"/>
              </w:rPr>
            </w:pPr>
            <w:r>
              <w:rPr>
                <w:rFonts w:hint="eastAsia" w:ascii="宋体" w:hAnsi="宋体"/>
                <w:color w:val="auto"/>
                <w:sz w:val="24"/>
                <w:highlight w:val="none"/>
              </w:rPr>
              <w:t>备注</w:t>
            </w:r>
          </w:p>
        </w:tc>
      </w:tr>
      <w:tr w14:paraId="485869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664" w:type="pct"/>
            <w:tcBorders>
              <w:top w:val="single" w:color="auto" w:sz="4" w:space="0"/>
              <w:left w:val="single" w:color="auto" w:sz="4" w:space="0"/>
              <w:bottom w:val="single" w:color="auto" w:sz="4" w:space="0"/>
              <w:right w:val="single" w:color="auto" w:sz="4" w:space="0"/>
            </w:tcBorders>
          </w:tcPr>
          <w:p w14:paraId="4A07D9A5">
            <w:pPr>
              <w:shd w:val="clear"/>
              <w:snapToGrid w:val="0"/>
              <w:spacing w:line="240" w:lineRule="exact"/>
              <w:jc w:val="left"/>
              <w:rPr>
                <w:rFonts w:hint="eastAsia" w:ascii="宋体" w:hAnsi="宋体"/>
                <w:color w:val="auto"/>
                <w:sz w:val="24"/>
                <w:highlight w:val="none"/>
              </w:rPr>
            </w:pPr>
          </w:p>
        </w:tc>
        <w:tc>
          <w:tcPr>
            <w:tcW w:w="552" w:type="pct"/>
            <w:tcBorders>
              <w:top w:val="single" w:color="auto" w:sz="4" w:space="0"/>
              <w:left w:val="single" w:color="auto" w:sz="4" w:space="0"/>
              <w:bottom w:val="single" w:color="auto" w:sz="4" w:space="0"/>
              <w:right w:val="single" w:color="auto" w:sz="4" w:space="0"/>
            </w:tcBorders>
          </w:tcPr>
          <w:p w14:paraId="11A45416">
            <w:pPr>
              <w:shd w:val="clear"/>
              <w:snapToGrid w:val="0"/>
              <w:spacing w:line="240" w:lineRule="exact"/>
              <w:jc w:val="left"/>
              <w:rPr>
                <w:rFonts w:hint="eastAsia" w:ascii="宋体" w:hAnsi="宋体"/>
                <w:color w:val="auto"/>
                <w:sz w:val="24"/>
                <w:highlight w:val="none"/>
              </w:rPr>
            </w:pPr>
          </w:p>
        </w:tc>
        <w:tc>
          <w:tcPr>
            <w:tcW w:w="552" w:type="pct"/>
            <w:tcBorders>
              <w:top w:val="single" w:color="auto" w:sz="4" w:space="0"/>
              <w:left w:val="single" w:color="auto" w:sz="4" w:space="0"/>
              <w:bottom w:val="single" w:color="auto" w:sz="4" w:space="0"/>
              <w:right w:val="single" w:color="auto" w:sz="4" w:space="0"/>
            </w:tcBorders>
          </w:tcPr>
          <w:p w14:paraId="1A070769">
            <w:pPr>
              <w:shd w:val="clear"/>
              <w:snapToGrid w:val="0"/>
              <w:spacing w:line="240" w:lineRule="exact"/>
              <w:jc w:val="left"/>
              <w:rPr>
                <w:rFonts w:hint="eastAsia" w:ascii="宋体" w:hAnsi="宋体"/>
                <w:color w:val="auto"/>
                <w:sz w:val="24"/>
                <w:highlight w:val="none"/>
              </w:rPr>
            </w:pPr>
          </w:p>
        </w:tc>
        <w:tc>
          <w:tcPr>
            <w:tcW w:w="709" w:type="pct"/>
            <w:tcBorders>
              <w:top w:val="single" w:color="auto" w:sz="4" w:space="0"/>
              <w:left w:val="single" w:color="auto" w:sz="4" w:space="0"/>
              <w:bottom w:val="single" w:color="auto" w:sz="4" w:space="0"/>
              <w:right w:val="single" w:color="auto" w:sz="4" w:space="0"/>
            </w:tcBorders>
          </w:tcPr>
          <w:p w14:paraId="51CAE816">
            <w:pPr>
              <w:shd w:val="clear"/>
              <w:snapToGrid w:val="0"/>
              <w:spacing w:line="240" w:lineRule="exact"/>
              <w:jc w:val="left"/>
              <w:rPr>
                <w:rFonts w:hint="eastAsia" w:ascii="宋体" w:hAnsi="宋体"/>
                <w:color w:val="auto"/>
                <w:sz w:val="24"/>
                <w:highlight w:val="none"/>
              </w:rPr>
            </w:pPr>
          </w:p>
        </w:tc>
        <w:tc>
          <w:tcPr>
            <w:tcW w:w="992" w:type="pct"/>
            <w:tcBorders>
              <w:top w:val="single" w:color="auto" w:sz="4" w:space="0"/>
              <w:left w:val="single" w:color="auto" w:sz="4" w:space="0"/>
              <w:bottom w:val="single" w:color="auto" w:sz="4" w:space="0"/>
              <w:right w:val="single" w:color="auto" w:sz="4" w:space="0"/>
            </w:tcBorders>
          </w:tcPr>
          <w:p w14:paraId="6E5353C8">
            <w:pPr>
              <w:shd w:val="clear"/>
              <w:snapToGrid w:val="0"/>
              <w:spacing w:line="240" w:lineRule="exact"/>
              <w:jc w:val="left"/>
              <w:rPr>
                <w:rFonts w:hint="eastAsia" w:ascii="宋体" w:hAnsi="宋体"/>
                <w:color w:val="auto"/>
                <w:sz w:val="24"/>
                <w:highlight w:val="none"/>
              </w:rPr>
            </w:pPr>
          </w:p>
        </w:tc>
        <w:tc>
          <w:tcPr>
            <w:tcW w:w="636" w:type="pct"/>
            <w:tcBorders>
              <w:top w:val="single" w:color="auto" w:sz="4" w:space="0"/>
              <w:left w:val="single" w:color="auto" w:sz="4" w:space="0"/>
              <w:bottom w:val="single" w:color="auto" w:sz="4" w:space="0"/>
              <w:right w:val="single" w:color="auto" w:sz="4" w:space="0"/>
            </w:tcBorders>
            <w:vAlign w:val="center"/>
          </w:tcPr>
          <w:p w14:paraId="14881309">
            <w:pPr>
              <w:shd w:val="clear"/>
              <w:snapToGrid w:val="0"/>
              <w:spacing w:line="240" w:lineRule="exact"/>
              <w:rPr>
                <w:rFonts w:hint="eastAsia" w:ascii="宋体" w:hAnsi="宋体"/>
                <w:color w:val="auto"/>
                <w:sz w:val="24"/>
                <w:highlight w:val="none"/>
              </w:rPr>
            </w:pPr>
          </w:p>
        </w:tc>
        <w:tc>
          <w:tcPr>
            <w:tcW w:w="892" w:type="pct"/>
            <w:tcBorders>
              <w:top w:val="single" w:color="auto" w:sz="4" w:space="0"/>
              <w:left w:val="single" w:color="auto" w:sz="4" w:space="0"/>
              <w:bottom w:val="single" w:color="auto" w:sz="4" w:space="0"/>
              <w:right w:val="single" w:color="auto" w:sz="4" w:space="0"/>
            </w:tcBorders>
            <w:vAlign w:val="center"/>
          </w:tcPr>
          <w:p w14:paraId="42B6F2AE">
            <w:pPr>
              <w:shd w:val="clear"/>
              <w:snapToGrid w:val="0"/>
              <w:spacing w:line="240" w:lineRule="exact"/>
              <w:rPr>
                <w:rFonts w:hint="eastAsia" w:ascii="宋体" w:hAnsi="宋体"/>
                <w:color w:val="auto"/>
                <w:sz w:val="24"/>
                <w:highlight w:val="none"/>
              </w:rPr>
            </w:pPr>
          </w:p>
        </w:tc>
      </w:tr>
      <w:tr w14:paraId="41FB84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64" w:type="pct"/>
            <w:tcBorders>
              <w:top w:val="single" w:color="auto" w:sz="4" w:space="0"/>
              <w:left w:val="single" w:color="auto" w:sz="4" w:space="0"/>
              <w:bottom w:val="single" w:color="auto" w:sz="4" w:space="0"/>
              <w:right w:val="single" w:color="auto" w:sz="4" w:space="0"/>
            </w:tcBorders>
          </w:tcPr>
          <w:p w14:paraId="7FB9AA3F">
            <w:pPr>
              <w:shd w:val="clear"/>
              <w:snapToGrid w:val="0"/>
              <w:spacing w:before="50" w:after="120" w:afterLines="50" w:line="400" w:lineRule="exact"/>
              <w:jc w:val="left"/>
              <w:rPr>
                <w:rFonts w:hint="eastAsia" w:ascii="宋体" w:hAnsi="宋体"/>
                <w:color w:val="auto"/>
                <w:sz w:val="24"/>
                <w:highlight w:val="none"/>
              </w:rPr>
            </w:pPr>
          </w:p>
        </w:tc>
        <w:tc>
          <w:tcPr>
            <w:tcW w:w="552" w:type="pct"/>
            <w:tcBorders>
              <w:top w:val="single" w:color="auto" w:sz="4" w:space="0"/>
              <w:left w:val="single" w:color="auto" w:sz="4" w:space="0"/>
              <w:bottom w:val="single" w:color="auto" w:sz="4" w:space="0"/>
              <w:right w:val="single" w:color="auto" w:sz="4" w:space="0"/>
            </w:tcBorders>
          </w:tcPr>
          <w:p w14:paraId="4AED0E40">
            <w:pPr>
              <w:shd w:val="clear"/>
              <w:snapToGrid w:val="0"/>
              <w:spacing w:before="50" w:after="120" w:afterLines="50" w:line="400" w:lineRule="exact"/>
              <w:jc w:val="left"/>
              <w:rPr>
                <w:rFonts w:hint="eastAsia" w:ascii="宋体" w:hAnsi="宋体"/>
                <w:color w:val="auto"/>
                <w:sz w:val="24"/>
                <w:highlight w:val="none"/>
              </w:rPr>
            </w:pPr>
          </w:p>
        </w:tc>
        <w:tc>
          <w:tcPr>
            <w:tcW w:w="552" w:type="pct"/>
            <w:tcBorders>
              <w:top w:val="single" w:color="auto" w:sz="4" w:space="0"/>
              <w:left w:val="single" w:color="auto" w:sz="4" w:space="0"/>
              <w:bottom w:val="single" w:color="auto" w:sz="4" w:space="0"/>
              <w:right w:val="single" w:color="auto" w:sz="4" w:space="0"/>
            </w:tcBorders>
          </w:tcPr>
          <w:p w14:paraId="13B20444">
            <w:pPr>
              <w:shd w:val="clear"/>
              <w:snapToGrid w:val="0"/>
              <w:spacing w:before="50" w:after="120" w:afterLines="50" w:line="400" w:lineRule="exact"/>
              <w:jc w:val="left"/>
              <w:rPr>
                <w:rFonts w:hint="eastAsia" w:ascii="宋体" w:hAnsi="宋体"/>
                <w:color w:val="auto"/>
                <w:sz w:val="24"/>
                <w:highlight w:val="none"/>
              </w:rPr>
            </w:pPr>
          </w:p>
        </w:tc>
        <w:tc>
          <w:tcPr>
            <w:tcW w:w="709" w:type="pct"/>
            <w:tcBorders>
              <w:top w:val="single" w:color="auto" w:sz="4" w:space="0"/>
              <w:left w:val="single" w:color="auto" w:sz="4" w:space="0"/>
              <w:bottom w:val="single" w:color="auto" w:sz="4" w:space="0"/>
              <w:right w:val="single" w:color="auto" w:sz="4" w:space="0"/>
            </w:tcBorders>
          </w:tcPr>
          <w:p w14:paraId="0F2E5B57">
            <w:pPr>
              <w:shd w:val="clear"/>
              <w:snapToGrid w:val="0"/>
              <w:spacing w:before="50" w:after="120" w:afterLines="50" w:line="400" w:lineRule="exact"/>
              <w:jc w:val="left"/>
              <w:rPr>
                <w:rFonts w:hint="eastAsia" w:ascii="宋体" w:hAnsi="宋体"/>
                <w:color w:val="auto"/>
                <w:sz w:val="24"/>
                <w:highlight w:val="none"/>
              </w:rPr>
            </w:pPr>
          </w:p>
        </w:tc>
        <w:tc>
          <w:tcPr>
            <w:tcW w:w="992" w:type="pct"/>
            <w:tcBorders>
              <w:top w:val="single" w:color="auto" w:sz="4" w:space="0"/>
              <w:left w:val="single" w:color="auto" w:sz="4" w:space="0"/>
              <w:bottom w:val="single" w:color="auto" w:sz="4" w:space="0"/>
              <w:right w:val="single" w:color="auto" w:sz="4" w:space="0"/>
            </w:tcBorders>
          </w:tcPr>
          <w:p w14:paraId="04CE8B78">
            <w:pPr>
              <w:shd w:val="clear"/>
              <w:snapToGrid w:val="0"/>
              <w:spacing w:before="50" w:after="120" w:afterLines="50" w:line="400" w:lineRule="exact"/>
              <w:jc w:val="left"/>
              <w:rPr>
                <w:rFonts w:hint="eastAsia" w:ascii="宋体" w:hAnsi="宋体"/>
                <w:color w:val="auto"/>
                <w:sz w:val="24"/>
                <w:highlight w:val="none"/>
              </w:rPr>
            </w:pPr>
          </w:p>
        </w:tc>
        <w:tc>
          <w:tcPr>
            <w:tcW w:w="636" w:type="pct"/>
            <w:tcBorders>
              <w:top w:val="single" w:color="auto" w:sz="4" w:space="0"/>
              <w:left w:val="single" w:color="auto" w:sz="4" w:space="0"/>
              <w:bottom w:val="single" w:color="auto" w:sz="4" w:space="0"/>
              <w:right w:val="single" w:color="auto" w:sz="4" w:space="0"/>
            </w:tcBorders>
          </w:tcPr>
          <w:p w14:paraId="4CD90462">
            <w:pPr>
              <w:shd w:val="clear"/>
              <w:snapToGrid w:val="0"/>
              <w:spacing w:before="50" w:after="120" w:afterLines="50" w:line="400" w:lineRule="exact"/>
              <w:jc w:val="left"/>
              <w:rPr>
                <w:rFonts w:hint="eastAsia" w:ascii="宋体" w:hAnsi="宋体"/>
                <w:color w:val="auto"/>
                <w:sz w:val="24"/>
                <w:highlight w:val="none"/>
              </w:rPr>
            </w:pPr>
          </w:p>
        </w:tc>
        <w:tc>
          <w:tcPr>
            <w:tcW w:w="892" w:type="pct"/>
            <w:tcBorders>
              <w:top w:val="single" w:color="auto" w:sz="4" w:space="0"/>
              <w:left w:val="single" w:color="auto" w:sz="4" w:space="0"/>
              <w:bottom w:val="single" w:color="auto" w:sz="4" w:space="0"/>
              <w:right w:val="single" w:color="auto" w:sz="4" w:space="0"/>
            </w:tcBorders>
          </w:tcPr>
          <w:p w14:paraId="1A49563A">
            <w:pPr>
              <w:shd w:val="clear"/>
              <w:snapToGrid w:val="0"/>
              <w:spacing w:before="50" w:after="120" w:afterLines="50" w:line="400" w:lineRule="exact"/>
              <w:jc w:val="left"/>
              <w:rPr>
                <w:rFonts w:hint="eastAsia" w:ascii="宋体" w:hAnsi="宋体"/>
                <w:color w:val="auto"/>
                <w:sz w:val="24"/>
                <w:highlight w:val="none"/>
              </w:rPr>
            </w:pPr>
          </w:p>
        </w:tc>
      </w:tr>
      <w:tr w14:paraId="5E11CC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664" w:type="pct"/>
            <w:tcBorders>
              <w:top w:val="single" w:color="auto" w:sz="4" w:space="0"/>
              <w:left w:val="single" w:color="auto" w:sz="4" w:space="0"/>
              <w:bottom w:val="single" w:color="auto" w:sz="4" w:space="0"/>
              <w:right w:val="single" w:color="auto" w:sz="4" w:space="0"/>
            </w:tcBorders>
          </w:tcPr>
          <w:p w14:paraId="4BDBE292">
            <w:pPr>
              <w:shd w:val="clear"/>
              <w:snapToGrid w:val="0"/>
              <w:spacing w:before="50" w:after="120" w:afterLines="50" w:line="400" w:lineRule="exact"/>
              <w:jc w:val="left"/>
              <w:rPr>
                <w:rFonts w:hint="eastAsia" w:ascii="宋体" w:hAnsi="宋体"/>
                <w:color w:val="auto"/>
                <w:sz w:val="24"/>
                <w:highlight w:val="none"/>
              </w:rPr>
            </w:pPr>
          </w:p>
        </w:tc>
        <w:tc>
          <w:tcPr>
            <w:tcW w:w="552" w:type="pct"/>
            <w:tcBorders>
              <w:top w:val="single" w:color="auto" w:sz="4" w:space="0"/>
              <w:left w:val="single" w:color="auto" w:sz="4" w:space="0"/>
              <w:bottom w:val="single" w:color="auto" w:sz="4" w:space="0"/>
              <w:right w:val="single" w:color="auto" w:sz="4" w:space="0"/>
            </w:tcBorders>
          </w:tcPr>
          <w:p w14:paraId="0B92559E">
            <w:pPr>
              <w:shd w:val="clear"/>
              <w:snapToGrid w:val="0"/>
              <w:spacing w:before="50" w:after="120" w:afterLines="50" w:line="400" w:lineRule="exact"/>
              <w:jc w:val="left"/>
              <w:rPr>
                <w:rFonts w:hint="eastAsia" w:ascii="宋体" w:hAnsi="宋体"/>
                <w:color w:val="auto"/>
                <w:sz w:val="24"/>
                <w:highlight w:val="none"/>
              </w:rPr>
            </w:pPr>
          </w:p>
        </w:tc>
        <w:tc>
          <w:tcPr>
            <w:tcW w:w="552" w:type="pct"/>
            <w:tcBorders>
              <w:top w:val="single" w:color="auto" w:sz="4" w:space="0"/>
              <w:left w:val="single" w:color="auto" w:sz="4" w:space="0"/>
              <w:bottom w:val="single" w:color="auto" w:sz="4" w:space="0"/>
              <w:right w:val="single" w:color="auto" w:sz="4" w:space="0"/>
            </w:tcBorders>
          </w:tcPr>
          <w:p w14:paraId="733D1252">
            <w:pPr>
              <w:shd w:val="clear"/>
              <w:snapToGrid w:val="0"/>
              <w:spacing w:before="50" w:after="120" w:afterLines="50" w:line="400" w:lineRule="exact"/>
              <w:jc w:val="left"/>
              <w:rPr>
                <w:rFonts w:hint="eastAsia" w:ascii="宋体" w:hAnsi="宋体"/>
                <w:color w:val="auto"/>
                <w:sz w:val="24"/>
                <w:highlight w:val="none"/>
              </w:rPr>
            </w:pPr>
          </w:p>
        </w:tc>
        <w:tc>
          <w:tcPr>
            <w:tcW w:w="709" w:type="pct"/>
            <w:tcBorders>
              <w:top w:val="single" w:color="auto" w:sz="4" w:space="0"/>
              <w:left w:val="single" w:color="auto" w:sz="4" w:space="0"/>
              <w:bottom w:val="single" w:color="auto" w:sz="4" w:space="0"/>
              <w:right w:val="single" w:color="auto" w:sz="4" w:space="0"/>
            </w:tcBorders>
          </w:tcPr>
          <w:p w14:paraId="272D5355">
            <w:pPr>
              <w:shd w:val="clear"/>
              <w:snapToGrid w:val="0"/>
              <w:spacing w:before="50" w:after="120" w:afterLines="50" w:line="400" w:lineRule="exact"/>
              <w:jc w:val="left"/>
              <w:rPr>
                <w:rFonts w:hint="eastAsia" w:ascii="宋体" w:hAnsi="宋体"/>
                <w:color w:val="auto"/>
                <w:sz w:val="24"/>
                <w:highlight w:val="none"/>
              </w:rPr>
            </w:pPr>
          </w:p>
        </w:tc>
        <w:tc>
          <w:tcPr>
            <w:tcW w:w="992" w:type="pct"/>
            <w:tcBorders>
              <w:top w:val="single" w:color="auto" w:sz="4" w:space="0"/>
              <w:left w:val="single" w:color="auto" w:sz="4" w:space="0"/>
              <w:bottom w:val="single" w:color="auto" w:sz="4" w:space="0"/>
              <w:right w:val="single" w:color="auto" w:sz="4" w:space="0"/>
            </w:tcBorders>
          </w:tcPr>
          <w:p w14:paraId="5EE1B975">
            <w:pPr>
              <w:shd w:val="clear"/>
              <w:snapToGrid w:val="0"/>
              <w:spacing w:before="50" w:after="120" w:afterLines="50" w:line="400" w:lineRule="exact"/>
              <w:jc w:val="left"/>
              <w:rPr>
                <w:rFonts w:hint="eastAsia" w:ascii="宋体" w:hAnsi="宋体"/>
                <w:color w:val="auto"/>
                <w:sz w:val="24"/>
                <w:highlight w:val="none"/>
              </w:rPr>
            </w:pPr>
          </w:p>
        </w:tc>
        <w:tc>
          <w:tcPr>
            <w:tcW w:w="636" w:type="pct"/>
            <w:tcBorders>
              <w:top w:val="single" w:color="auto" w:sz="4" w:space="0"/>
              <w:left w:val="single" w:color="auto" w:sz="4" w:space="0"/>
              <w:bottom w:val="single" w:color="auto" w:sz="4" w:space="0"/>
              <w:right w:val="single" w:color="auto" w:sz="4" w:space="0"/>
            </w:tcBorders>
          </w:tcPr>
          <w:p w14:paraId="498FD32D">
            <w:pPr>
              <w:shd w:val="clear"/>
              <w:snapToGrid w:val="0"/>
              <w:spacing w:before="50" w:after="120" w:afterLines="50" w:line="400" w:lineRule="exact"/>
              <w:jc w:val="left"/>
              <w:rPr>
                <w:rFonts w:hint="eastAsia" w:ascii="宋体" w:hAnsi="宋体"/>
                <w:color w:val="auto"/>
                <w:sz w:val="24"/>
                <w:highlight w:val="none"/>
              </w:rPr>
            </w:pPr>
          </w:p>
        </w:tc>
        <w:tc>
          <w:tcPr>
            <w:tcW w:w="892" w:type="pct"/>
            <w:tcBorders>
              <w:top w:val="single" w:color="auto" w:sz="4" w:space="0"/>
              <w:left w:val="single" w:color="auto" w:sz="4" w:space="0"/>
              <w:bottom w:val="single" w:color="auto" w:sz="4" w:space="0"/>
              <w:right w:val="single" w:color="auto" w:sz="4" w:space="0"/>
            </w:tcBorders>
          </w:tcPr>
          <w:p w14:paraId="68D33F4E">
            <w:pPr>
              <w:shd w:val="clear"/>
              <w:snapToGrid w:val="0"/>
              <w:spacing w:before="50" w:after="120" w:afterLines="50" w:line="400" w:lineRule="exact"/>
              <w:jc w:val="left"/>
              <w:rPr>
                <w:rFonts w:hint="eastAsia" w:ascii="宋体" w:hAnsi="宋体"/>
                <w:color w:val="auto"/>
                <w:sz w:val="24"/>
                <w:highlight w:val="none"/>
              </w:rPr>
            </w:pPr>
          </w:p>
        </w:tc>
      </w:tr>
      <w:tr w14:paraId="7F30FF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64" w:type="pct"/>
            <w:tcBorders>
              <w:top w:val="single" w:color="auto" w:sz="4" w:space="0"/>
              <w:left w:val="single" w:color="auto" w:sz="4" w:space="0"/>
              <w:bottom w:val="single" w:color="auto" w:sz="4" w:space="0"/>
              <w:right w:val="single" w:color="auto" w:sz="4" w:space="0"/>
            </w:tcBorders>
          </w:tcPr>
          <w:p w14:paraId="45E928CE">
            <w:pPr>
              <w:shd w:val="clear"/>
              <w:snapToGrid w:val="0"/>
              <w:spacing w:before="50" w:after="120" w:afterLines="50" w:line="400" w:lineRule="exact"/>
              <w:jc w:val="left"/>
              <w:rPr>
                <w:rFonts w:hint="eastAsia" w:ascii="宋体" w:hAnsi="宋体"/>
                <w:color w:val="auto"/>
                <w:sz w:val="24"/>
                <w:highlight w:val="none"/>
              </w:rPr>
            </w:pPr>
          </w:p>
        </w:tc>
        <w:tc>
          <w:tcPr>
            <w:tcW w:w="552" w:type="pct"/>
            <w:tcBorders>
              <w:top w:val="single" w:color="auto" w:sz="4" w:space="0"/>
              <w:left w:val="single" w:color="auto" w:sz="4" w:space="0"/>
              <w:bottom w:val="single" w:color="auto" w:sz="4" w:space="0"/>
              <w:right w:val="single" w:color="auto" w:sz="4" w:space="0"/>
            </w:tcBorders>
          </w:tcPr>
          <w:p w14:paraId="21D8186E">
            <w:pPr>
              <w:shd w:val="clear"/>
              <w:snapToGrid w:val="0"/>
              <w:spacing w:before="50" w:after="120" w:afterLines="50" w:line="400" w:lineRule="exact"/>
              <w:jc w:val="left"/>
              <w:rPr>
                <w:rFonts w:hint="eastAsia" w:ascii="宋体" w:hAnsi="宋体"/>
                <w:color w:val="auto"/>
                <w:sz w:val="24"/>
                <w:highlight w:val="none"/>
              </w:rPr>
            </w:pPr>
          </w:p>
        </w:tc>
        <w:tc>
          <w:tcPr>
            <w:tcW w:w="552" w:type="pct"/>
            <w:tcBorders>
              <w:top w:val="single" w:color="auto" w:sz="4" w:space="0"/>
              <w:left w:val="single" w:color="auto" w:sz="4" w:space="0"/>
              <w:bottom w:val="single" w:color="auto" w:sz="4" w:space="0"/>
              <w:right w:val="single" w:color="auto" w:sz="4" w:space="0"/>
            </w:tcBorders>
          </w:tcPr>
          <w:p w14:paraId="49420576">
            <w:pPr>
              <w:shd w:val="clear"/>
              <w:snapToGrid w:val="0"/>
              <w:spacing w:before="50" w:after="120" w:afterLines="50" w:line="400" w:lineRule="exact"/>
              <w:jc w:val="left"/>
              <w:rPr>
                <w:rFonts w:hint="eastAsia" w:ascii="宋体" w:hAnsi="宋体"/>
                <w:color w:val="auto"/>
                <w:sz w:val="24"/>
                <w:highlight w:val="none"/>
              </w:rPr>
            </w:pPr>
          </w:p>
        </w:tc>
        <w:tc>
          <w:tcPr>
            <w:tcW w:w="709" w:type="pct"/>
            <w:tcBorders>
              <w:top w:val="single" w:color="auto" w:sz="4" w:space="0"/>
              <w:left w:val="single" w:color="auto" w:sz="4" w:space="0"/>
              <w:bottom w:val="single" w:color="auto" w:sz="4" w:space="0"/>
              <w:right w:val="single" w:color="auto" w:sz="4" w:space="0"/>
            </w:tcBorders>
          </w:tcPr>
          <w:p w14:paraId="4ABF2E5D">
            <w:pPr>
              <w:shd w:val="clear"/>
              <w:snapToGrid w:val="0"/>
              <w:spacing w:before="50" w:after="120" w:afterLines="50" w:line="400" w:lineRule="exact"/>
              <w:jc w:val="left"/>
              <w:rPr>
                <w:rFonts w:hint="eastAsia" w:ascii="宋体" w:hAnsi="宋体"/>
                <w:color w:val="auto"/>
                <w:sz w:val="24"/>
                <w:highlight w:val="none"/>
              </w:rPr>
            </w:pPr>
          </w:p>
        </w:tc>
        <w:tc>
          <w:tcPr>
            <w:tcW w:w="992" w:type="pct"/>
            <w:tcBorders>
              <w:top w:val="single" w:color="auto" w:sz="4" w:space="0"/>
              <w:left w:val="single" w:color="auto" w:sz="4" w:space="0"/>
              <w:bottom w:val="single" w:color="auto" w:sz="4" w:space="0"/>
              <w:right w:val="single" w:color="auto" w:sz="4" w:space="0"/>
            </w:tcBorders>
          </w:tcPr>
          <w:p w14:paraId="1FA046BF">
            <w:pPr>
              <w:shd w:val="clear"/>
              <w:snapToGrid w:val="0"/>
              <w:spacing w:before="50" w:after="120" w:afterLines="50" w:line="400" w:lineRule="exact"/>
              <w:jc w:val="left"/>
              <w:rPr>
                <w:rFonts w:hint="eastAsia" w:ascii="宋体" w:hAnsi="宋体"/>
                <w:color w:val="auto"/>
                <w:sz w:val="24"/>
                <w:highlight w:val="none"/>
              </w:rPr>
            </w:pPr>
          </w:p>
        </w:tc>
        <w:tc>
          <w:tcPr>
            <w:tcW w:w="636" w:type="pct"/>
            <w:tcBorders>
              <w:top w:val="single" w:color="auto" w:sz="4" w:space="0"/>
              <w:left w:val="single" w:color="auto" w:sz="4" w:space="0"/>
              <w:bottom w:val="single" w:color="auto" w:sz="4" w:space="0"/>
              <w:right w:val="single" w:color="auto" w:sz="4" w:space="0"/>
            </w:tcBorders>
          </w:tcPr>
          <w:p w14:paraId="35387301">
            <w:pPr>
              <w:shd w:val="clear"/>
              <w:snapToGrid w:val="0"/>
              <w:spacing w:before="50" w:after="120" w:afterLines="50" w:line="400" w:lineRule="exact"/>
              <w:jc w:val="left"/>
              <w:rPr>
                <w:rFonts w:hint="eastAsia" w:ascii="宋体" w:hAnsi="宋体"/>
                <w:color w:val="auto"/>
                <w:sz w:val="24"/>
                <w:highlight w:val="none"/>
              </w:rPr>
            </w:pPr>
          </w:p>
        </w:tc>
        <w:tc>
          <w:tcPr>
            <w:tcW w:w="892" w:type="pct"/>
            <w:tcBorders>
              <w:top w:val="single" w:color="auto" w:sz="4" w:space="0"/>
              <w:left w:val="single" w:color="auto" w:sz="4" w:space="0"/>
              <w:bottom w:val="single" w:color="auto" w:sz="4" w:space="0"/>
              <w:right w:val="single" w:color="auto" w:sz="4" w:space="0"/>
            </w:tcBorders>
          </w:tcPr>
          <w:p w14:paraId="1E33B8C8">
            <w:pPr>
              <w:shd w:val="clear"/>
              <w:snapToGrid w:val="0"/>
              <w:spacing w:before="50" w:after="120" w:afterLines="50" w:line="400" w:lineRule="exact"/>
              <w:jc w:val="left"/>
              <w:rPr>
                <w:rFonts w:hint="eastAsia" w:ascii="宋体" w:hAnsi="宋体"/>
                <w:color w:val="auto"/>
                <w:sz w:val="24"/>
                <w:highlight w:val="none"/>
              </w:rPr>
            </w:pPr>
          </w:p>
        </w:tc>
      </w:tr>
      <w:tr w14:paraId="4B5656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64" w:type="pct"/>
            <w:tcBorders>
              <w:top w:val="single" w:color="auto" w:sz="4" w:space="0"/>
              <w:left w:val="single" w:color="auto" w:sz="4" w:space="0"/>
              <w:bottom w:val="single" w:color="auto" w:sz="4" w:space="0"/>
              <w:right w:val="single" w:color="auto" w:sz="4" w:space="0"/>
            </w:tcBorders>
          </w:tcPr>
          <w:p w14:paraId="68A78924">
            <w:pPr>
              <w:shd w:val="clear"/>
              <w:snapToGrid w:val="0"/>
              <w:spacing w:before="50" w:after="120" w:afterLines="50" w:line="400" w:lineRule="exact"/>
              <w:jc w:val="left"/>
              <w:rPr>
                <w:rFonts w:hint="eastAsia" w:ascii="宋体" w:hAnsi="宋体"/>
                <w:color w:val="auto"/>
                <w:sz w:val="24"/>
                <w:highlight w:val="none"/>
              </w:rPr>
            </w:pPr>
          </w:p>
        </w:tc>
        <w:tc>
          <w:tcPr>
            <w:tcW w:w="552" w:type="pct"/>
            <w:tcBorders>
              <w:top w:val="single" w:color="auto" w:sz="4" w:space="0"/>
              <w:left w:val="single" w:color="auto" w:sz="4" w:space="0"/>
              <w:bottom w:val="single" w:color="auto" w:sz="4" w:space="0"/>
              <w:right w:val="single" w:color="auto" w:sz="4" w:space="0"/>
            </w:tcBorders>
          </w:tcPr>
          <w:p w14:paraId="7321037A">
            <w:pPr>
              <w:shd w:val="clear"/>
              <w:snapToGrid w:val="0"/>
              <w:spacing w:before="50" w:after="120" w:afterLines="50" w:line="400" w:lineRule="exact"/>
              <w:jc w:val="left"/>
              <w:rPr>
                <w:rFonts w:hint="eastAsia" w:ascii="宋体" w:hAnsi="宋体"/>
                <w:color w:val="auto"/>
                <w:sz w:val="24"/>
                <w:highlight w:val="none"/>
              </w:rPr>
            </w:pPr>
          </w:p>
        </w:tc>
        <w:tc>
          <w:tcPr>
            <w:tcW w:w="552" w:type="pct"/>
            <w:tcBorders>
              <w:top w:val="single" w:color="auto" w:sz="4" w:space="0"/>
              <w:left w:val="single" w:color="auto" w:sz="4" w:space="0"/>
              <w:bottom w:val="single" w:color="auto" w:sz="4" w:space="0"/>
              <w:right w:val="single" w:color="auto" w:sz="4" w:space="0"/>
            </w:tcBorders>
          </w:tcPr>
          <w:p w14:paraId="29E689D4">
            <w:pPr>
              <w:shd w:val="clear"/>
              <w:snapToGrid w:val="0"/>
              <w:spacing w:before="50" w:after="120" w:afterLines="50" w:line="400" w:lineRule="exact"/>
              <w:jc w:val="left"/>
              <w:rPr>
                <w:rFonts w:hint="eastAsia" w:ascii="宋体" w:hAnsi="宋体"/>
                <w:color w:val="auto"/>
                <w:sz w:val="24"/>
                <w:highlight w:val="none"/>
              </w:rPr>
            </w:pPr>
          </w:p>
        </w:tc>
        <w:tc>
          <w:tcPr>
            <w:tcW w:w="709" w:type="pct"/>
            <w:tcBorders>
              <w:top w:val="single" w:color="auto" w:sz="4" w:space="0"/>
              <w:left w:val="single" w:color="auto" w:sz="4" w:space="0"/>
              <w:bottom w:val="single" w:color="auto" w:sz="4" w:space="0"/>
              <w:right w:val="single" w:color="auto" w:sz="4" w:space="0"/>
            </w:tcBorders>
          </w:tcPr>
          <w:p w14:paraId="457CC30B">
            <w:pPr>
              <w:shd w:val="clear"/>
              <w:snapToGrid w:val="0"/>
              <w:spacing w:before="50" w:after="120" w:afterLines="50" w:line="400" w:lineRule="exact"/>
              <w:jc w:val="left"/>
              <w:rPr>
                <w:rFonts w:hint="eastAsia" w:ascii="宋体" w:hAnsi="宋体"/>
                <w:color w:val="auto"/>
                <w:sz w:val="24"/>
                <w:highlight w:val="none"/>
              </w:rPr>
            </w:pPr>
          </w:p>
        </w:tc>
        <w:tc>
          <w:tcPr>
            <w:tcW w:w="992" w:type="pct"/>
            <w:tcBorders>
              <w:top w:val="single" w:color="auto" w:sz="4" w:space="0"/>
              <w:left w:val="single" w:color="auto" w:sz="4" w:space="0"/>
              <w:bottom w:val="single" w:color="auto" w:sz="4" w:space="0"/>
              <w:right w:val="single" w:color="auto" w:sz="4" w:space="0"/>
            </w:tcBorders>
          </w:tcPr>
          <w:p w14:paraId="5AD9F804">
            <w:pPr>
              <w:shd w:val="clear"/>
              <w:snapToGrid w:val="0"/>
              <w:spacing w:before="50" w:after="120" w:afterLines="50" w:line="400" w:lineRule="exact"/>
              <w:jc w:val="left"/>
              <w:rPr>
                <w:rFonts w:hint="eastAsia" w:ascii="宋体" w:hAnsi="宋体"/>
                <w:color w:val="auto"/>
                <w:sz w:val="24"/>
                <w:highlight w:val="none"/>
              </w:rPr>
            </w:pPr>
          </w:p>
        </w:tc>
        <w:tc>
          <w:tcPr>
            <w:tcW w:w="636" w:type="pct"/>
            <w:tcBorders>
              <w:top w:val="single" w:color="auto" w:sz="4" w:space="0"/>
              <w:left w:val="single" w:color="auto" w:sz="4" w:space="0"/>
              <w:bottom w:val="single" w:color="auto" w:sz="4" w:space="0"/>
              <w:right w:val="single" w:color="auto" w:sz="4" w:space="0"/>
            </w:tcBorders>
          </w:tcPr>
          <w:p w14:paraId="62A64EC6">
            <w:pPr>
              <w:shd w:val="clear"/>
              <w:snapToGrid w:val="0"/>
              <w:spacing w:before="50" w:after="120" w:afterLines="50" w:line="400" w:lineRule="exact"/>
              <w:jc w:val="left"/>
              <w:rPr>
                <w:rFonts w:hint="eastAsia" w:ascii="宋体" w:hAnsi="宋体"/>
                <w:color w:val="auto"/>
                <w:sz w:val="24"/>
                <w:highlight w:val="none"/>
              </w:rPr>
            </w:pPr>
          </w:p>
        </w:tc>
        <w:tc>
          <w:tcPr>
            <w:tcW w:w="892" w:type="pct"/>
            <w:tcBorders>
              <w:top w:val="single" w:color="auto" w:sz="4" w:space="0"/>
              <w:left w:val="single" w:color="auto" w:sz="4" w:space="0"/>
              <w:bottom w:val="single" w:color="auto" w:sz="4" w:space="0"/>
              <w:right w:val="single" w:color="auto" w:sz="4" w:space="0"/>
            </w:tcBorders>
          </w:tcPr>
          <w:p w14:paraId="4DF0B22D">
            <w:pPr>
              <w:shd w:val="clear"/>
              <w:snapToGrid w:val="0"/>
              <w:spacing w:before="50" w:after="120" w:afterLines="50" w:line="400" w:lineRule="exact"/>
              <w:jc w:val="left"/>
              <w:rPr>
                <w:rFonts w:hint="eastAsia" w:ascii="宋体" w:hAnsi="宋体"/>
                <w:color w:val="auto"/>
                <w:sz w:val="24"/>
                <w:highlight w:val="none"/>
              </w:rPr>
            </w:pPr>
          </w:p>
        </w:tc>
      </w:tr>
    </w:tbl>
    <w:p w14:paraId="592DF48C">
      <w:pPr>
        <w:pStyle w:val="15"/>
        <w:shd w:val="clear"/>
        <w:spacing w:before="0" w:after="0" w:line="360" w:lineRule="auto"/>
        <w:contextualSpacing/>
        <w:rPr>
          <w:rFonts w:hint="eastAsia" w:ascii="宋体" w:hAnsi="宋体" w:eastAsia="宋体"/>
          <w:color w:val="auto"/>
          <w:sz w:val="24"/>
          <w:szCs w:val="24"/>
          <w:highlight w:val="none"/>
        </w:rPr>
      </w:pPr>
    </w:p>
    <w:p w14:paraId="3D1CDFA8">
      <w:pPr>
        <w:pStyle w:val="15"/>
        <w:shd w:val="clear"/>
        <w:spacing w:before="0" w:after="0" w:line="360" w:lineRule="auto"/>
        <w:contextualSpacing/>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注：</w:t>
      </w:r>
      <w:r>
        <w:rPr>
          <w:rFonts w:hint="eastAsia" w:ascii="宋体" w:hAnsi="宋体"/>
          <w:color w:val="auto"/>
          <w:sz w:val="24"/>
          <w:highlight w:val="none"/>
        </w:rPr>
        <w:t>投标人根据评分标准具体要求附业绩证明材料。</w:t>
      </w:r>
    </w:p>
    <w:p w14:paraId="656E1131">
      <w:pPr>
        <w:pStyle w:val="15"/>
        <w:shd w:val="clear"/>
        <w:spacing w:before="0" w:after="0" w:line="360" w:lineRule="auto"/>
        <w:contextualSpacing/>
        <w:jc w:val="left"/>
        <w:rPr>
          <w:rFonts w:hint="eastAsia" w:ascii="宋体" w:hAnsi="宋体" w:eastAsia="宋体"/>
          <w:color w:val="auto"/>
          <w:sz w:val="24"/>
          <w:szCs w:val="24"/>
          <w:highlight w:val="none"/>
          <w:u w:val="single"/>
        </w:rPr>
      </w:pPr>
      <w:r>
        <w:rPr>
          <w:rFonts w:hint="eastAsia" w:ascii="宋体" w:hAnsi="宋体" w:eastAsia="宋体"/>
          <w:color w:val="auto"/>
          <w:sz w:val="24"/>
          <w:szCs w:val="24"/>
          <w:highlight w:val="none"/>
        </w:rPr>
        <w:t>法定代表人或者委托代理人（签字）：</w:t>
      </w:r>
      <w:r>
        <w:rPr>
          <w:rFonts w:hint="eastAsia" w:ascii="宋体" w:hAnsi="宋体" w:eastAsia="宋体"/>
          <w:color w:val="auto"/>
          <w:sz w:val="24"/>
          <w:szCs w:val="24"/>
          <w:highlight w:val="none"/>
          <w:u w:val="single"/>
        </w:rPr>
        <w:t>　　　　　</w:t>
      </w:r>
    </w:p>
    <w:p w14:paraId="0B6192EF">
      <w:pPr>
        <w:shd w:val="clear"/>
        <w:spacing w:line="360" w:lineRule="auto"/>
        <w:ind w:right="480"/>
        <w:contextualSpacing/>
        <w:jc w:val="left"/>
        <w:rPr>
          <w:rFonts w:hint="eastAsia" w:ascii="宋体" w:hAnsi="宋体"/>
          <w:color w:val="auto"/>
          <w:sz w:val="24"/>
          <w:szCs w:val="20"/>
          <w:highlight w:val="none"/>
        </w:rPr>
      </w:pPr>
      <w:r>
        <w:rPr>
          <w:rFonts w:hint="eastAsia" w:ascii="宋体" w:hAnsi="宋体" w:cs="Arial"/>
          <w:color w:val="auto"/>
          <w:sz w:val="24"/>
          <w:highlight w:val="none"/>
        </w:rPr>
        <w:t>投标人（盖</w:t>
      </w:r>
      <w:r>
        <w:rPr>
          <w:rFonts w:hint="eastAsia" w:ascii="宋体" w:hAnsi="宋体" w:cs="Arial"/>
          <w:color w:val="auto"/>
          <w:sz w:val="24"/>
          <w:highlight w:val="none"/>
          <w:lang w:val="en-US" w:eastAsia="zh-CN"/>
        </w:rPr>
        <w:t>公章</w:t>
      </w:r>
      <w:r>
        <w:rPr>
          <w:rFonts w:hint="eastAsia" w:ascii="宋体" w:hAnsi="宋体" w:cs="Arial"/>
          <w:color w:val="auto"/>
          <w:sz w:val="24"/>
          <w:highlight w:val="non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    月    日</w:t>
      </w:r>
    </w:p>
    <w:p w14:paraId="7173832B">
      <w:pPr>
        <w:shd w:val="clear"/>
        <w:snapToGrid w:val="0"/>
        <w:spacing w:before="50"/>
        <w:ind w:firstLine="480" w:firstLineChars="200"/>
        <w:jc w:val="left"/>
        <w:rPr>
          <w:rFonts w:hint="eastAsia" w:ascii="宋体" w:hAnsi="宋体"/>
          <w:color w:val="auto"/>
          <w:sz w:val="24"/>
          <w:szCs w:val="20"/>
          <w:highlight w:val="none"/>
        </w:rPr>
      </w:pPr>
    </w:p>
    <w:p w14:paraId="7C80E165">
      <w:pPr>
        <w:shd w:val="clear"/>
        <w:snapToGrid w:val="0"/>
        <w:spacing w:before="50"/>
        <w:jc w:val="left"/>
        <w:rPr>
          <w:rFonts w:hint="eastAsia" w:ascii="宋体" w:hAnsi="宋体"/>
          <w:color w:val="auto"/>
          <w:sz w:val="24"/>
          <w:highlight w:val="none"/>
        </w:rPr>
      </w:pPr>
    </w:p>
    <w:p w14:paraId="0E30DC4C">
      <w:pPr>
        <w:shd w:val="clear"/>
        <w:snapToGrid w:val="0"/>
        <w:spacing w:before="120" w:beforeLines="50"/>
        <w:rPr>
          <w:rFonts w:hint="eastAsia" w:ascii="宋体" w:hAnsi="宋体"/>
          <w:color w:val="auto"/>
          <w:sz w:val="24"/>
          <w:szCs w:val="20"/>
          <w:highlight w:val="none"/>
        </w:rPr>
        <w:sectPr>
          <w:headerReference r:id="rId7" w:type="default"/>
          <w:footerReference r:id="rId8" w:type="default"/>
          <w:type w:val="continuous"/>
          <w:pgSz w:w="11906" w:h="16838"/>
          <w:pgMar w:top="1440" w:right="1080" w:bottom="1440" w:left="1080" w:header="851" w:footer="992" w:gutter="0"/>
          <w:pgNumType w:fmt="decimal"/>
          <w:cols w:space="720" w:num="1"/>
          <w:docGrid w:linePitch="312" w:charSpace="0"/>
        </w:sectPr>
      </w:pPr>
    </w:p>
    <w:p w14:paraId="446E7822">
      <w:pPr>
        <w:shd w:val="clear"/>
        <w:rPr>
          <w:b/>
          <w:color w:val="auto"/>
          <w:sz w:val="28"/>
          <w:szCs w:val="28"/>
          <w:highlight w:val="none"/>
        </w:rPr>
      </w:pPr>
      <w:r>
        <w:rPr>
          <w:rFonts w:hint="eastAsia"/>
          <w:b/>
          <w:color w:val="auto"/>
          <w:sz w:val="28"/>
          <w:szCs w:val="28"/>
          <w:highlight w:val="none"/>
        </w:rPr>
        <w:t>五、技术文件格式</w:t>
      </w:r>
    </w:p>
    <w:p w14:paraId="65DB3AB6">
      <w:pPr>
        <w:shd w:val="clear"/>
        <w:snapToGrid w:val="0"/>
        <w:spacing w:before="120" w:beforeLines="50" w:after="50"/>
        <w:ind w:left="142"/>
        <w:jc w:val="left"/>
        <w:rPr>
          <w:rFonts w:hint="eastAsia" w:ascii="宋体" w:hAnsi="宋体"/>
          <w:b/>
          <w:color w:val="auto"/>
          <w:sz w:val="24"/>
          <w:highlight w:val="none"/>
        </w:rPr>
      </w:pPr>
      <w:r>
        <w:rPr>
          <w:rFonts w:hint="eastAsia" w:ascii="宋体" w:hAnsi="宋体"/>
          <w:b/>
          <w:color w:val="auto"/>
          <w:sz w:val="24"/>
          <w:highlight w:val="none"/>
        </w:rPr>
        <w:t xml:space="preserve">1. 技术文件封面格式： </w:t>
      </w:r>
    </w:p>
    <w:p w14:paraId="76E08F49">
      <w:pPr>
        <w:shd w:val="clear"/>
        <w:snapToGrid w:val="0"/>
        <w:spacing w:before="120" w:beforeLines="50" w:after="50"/>
        <w:rPr>
          <w:rFonts w:hint="eastAsia" w:ascii="宋体" w:hAnsi="宋体"/>
          <w:b/>
          <w:bCs/>
          <w:color w:val="auto"/>
          <w:sz w:val="32"/>
          <w:szCs w:val="20"/>
          <w:highlight w:val="none"/>
        </w:rPr>
      </w:pPr>
      <w:r>
        <w:rPr>
          <w:rFonts w:hint="eastAsia" w:ascii="宋体" w:hAnsi="宋体"/>
          <w:color w:val="auto"/>
          <w:sz w:val="24"/>
          <w:highlight w:val="none"/>
        </w:rPr>
        <w:t xml:space="preserve">                                                    </w:t>
      </w:r>
      <w:r>
        <w:rPr>
          <w:rFonts w:hint="eastAsia" w:ascii="宋体" w:hAnsi="宋体"/>
          <w:b/>
          <w:bCs/>
          <w:color w:val="auto"/>
          <w:highlight w:val="none"/>
        </w:rPr>
        <w:t>正本/副本</w:t>
      </w:r>
    </w:p>
    <w:p w14:paraId="42E998D8">
      <w:pPr>
        <w:shd w:val="clear"/>
        <w:snapToGrid w:val="0"/>
        <w:spacing w:before="120" w:beforeLines="50" w:after="50"/>
        <w:rPr>
          <w:rFonts w:hint="eastAsia" w:ascii="宋体" w:hAnsi="宋体"/>
          <w:color w:val="auto"/>
          <w:sz w:val="24"/>
          <w:szCs w:val="20"/>
          <w:highlight w:val="none"/>
        </w:rPr>
      </w:pPr>
    </w:p>
    <w:p w14:paraId="26A02C28">
      <w:pPr>
        <w:shd w:val="clear"/>
        <w:snapToGrid w:val="0"/>
        <w:spacing w:before="120" w:beforeLines="50" w:after="50"/>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技术文件</w:t>
      </w:r>
    </w:p>
    <w:p w14:paraId="4F9BE0E0">
      <w:pPr>
        <w:shd w:val="clear"/>
        <w:snapToGrid w:val="0"/>
        <w:spacing w:before="120" w:beforeLines="50" w:after="50"/>
        <w:rPr>
          <w:rFonts w:hint="eastAsia" w:ascii="宋体" w:hAnsi="宋体"/>
          <w:bCs/>
          <w:color w:val="auto"/>
          <w:sz w:val="24"/>
          <w:szCs w:val="20"/>
          <w:highlight w:val="none"/>
        </w:rPr>
      </w:pPr>
    </w:p>
    <w:p w14:paraId="07EE98CF">
      <w:pPr>
        <w:shd w:val="clear"/>
        <w:snapToGrid w:val="0"/>
        <w:spacing w:before="120" w:beforeLines="50" w:after="50" w:line="400" w:lineRule="exact"/>
        <w:ind w:firstLine="360" w:firstLineChars="150"/>
        <w:rPr>
          <w:rFonts w:hint="eastAsia" w:ascii="宋体" w:hAnsi="宋体"/>
          <w:bCs/>
          <w:color w:val="auto"/>
          <w:sz w:val="24"/>
          <w:szCs w:val="20"/>
          <w:highlight w:val="none"/>
        </w:rPr>
      </w:pPr>
      <w:r>
        <w:rPr>
          <w:rFonts w:hint="eastAsia" w:ascii="宋体" w:hAnsi="宋体"/>
          <w:bCs/>
          <w:color w:val="auto"/>
          <w:sz w:val="24"/>
          <w:highlight w:val="none"/>
        </w:rPr>
        <w:t xml:space="preserve">项目名称： </w:t>
      </w:r>
    </w:p>
    <w:p w14:paraId="69756122">
      <w:pPr>
        <w:shd w:val="clea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 xml:space="preserve">项目编号： </w:t>
      </w:r>
    </w:p>
    <w:p w14:paraId="253957B3">
      <w:pPr>
        <w:shd w:val="clea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所投分标：</w:t>
      </w:r>
    </w:p>
    <w:p w14:paraId="14891F01">
      <w:pPr>
        <w:shd w:val="clea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投标人名称：</w:t>
      </w:r>
    </w:p>
    <w:p w14:paraId="07F0BE2B">
      <w:pPr>
        <w:shd w:val="clea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投标人地址：</w:t>
      </w:r>
    </w:p>
    <w:p w14:paraId="71AC8912">
      <w:pPr>
        <w:shd w:val="clear"/>
        <w:snapToGrid w:val="0"/>
        <w:spacing w:before="120" w:beforeLines="50" w:after="50"/>
        <w:ind w:firstLine="645"/>
        <w:jc w:val="center"/>
        <w:rPr>
          <w:rFonts w:hint="eastAsia" w:ascii="宋体" w:hAnsi="宋体"/>
          <w:color w:val="auto"/>
          <w:sz w:val="24"/>
          <w:highlight w:val="none"/>
        </w:rPr>
      </w:pPr>
      <w:r>
        <w:rPr>
          <w:rFonts w:hint="eastAsia" w:ascii="宋体" w:hAnsi="宋体"/>
          <w:color w:val="auto"/>
          <w:sz w:val="24"/>
          <w:highlight w:val="none"/>
        </w:rPr>
        <w:t xml:space="preserve">                        年    月    日</w:t>
      </w:r>
    </w:p>
    <w:p w14:paraId="4F22F074">
      <w:pPr>
        <w:shd w:val="clear"/>
        <w:snapToGrid w:val="0"/>
        <w:spacing w:before="120" w:beforeLines="50" w:after="50"/>
        <w:ind w:firstLine="645"/>
        <w:jc w:val="center"/>
        <w:rPr>
          <w:rFonts w:hint="eastAsia" w:ascii="宋体" w:hAnsi="宋体"/>
          <w:color w:val="auto"/>
          <w:sz w:val="24"/>
          <w:szCs w:val="20"/>
          <w:highlight w:val="none"/>
        </w:rPr>
      </w:pPr>
    </w:p>
    <w:p w14:paraId="36230D2B">
      <w:pPr>
        <w:shd w:val="clear"/>
        <w:snapToGrid w:val="0"/>
        <w:spacing w:before="120" w:beforeLines="50" w:after="50"/>
        <w:ind w:left="142"/>
        <w:jc w:val="left"/>
        <w:rPr>
          <w:rFonts w:hint="eastAsia" w:ascii="宋体" w:hAnsi="宋体"/>
          <w:b/>
          <w:bCs/>
          <w:color w:val="auto"/>
          <w:sz w:val="24"/>
          <w:highlight w:val="none"/>
        </w:rPr>
      </w:pPr>
      <w:r>
        <w:rPr>
          <w:rFonts w:ascii="宋体" w:hAnsi="宋体"/>
          <w:b/>
          <w:bCs/>
          <w:color w:val="auto"/>
          <w:sz w:val="24"/>
          <w:highlight w:val="none"/>
        </w:rPr>
        <w:br w:type="page"/>
      </w:r>
      <w:r>
        <w:rPr>
          <w:rFonts w:hint="eastAsia" w:ascii="宋体" w:hAnsi="宋体"/>
          <w:b/>
          <w:bCs/>
          <w:color w:val="auto"/>
          <w:sz w:val="32"/>
          <w:szCs w:val="32"/>
          <w:highlight w:val="none"/>
        </w:rPr>
        <w:t>2.技术文件目录</w:t>
      </w:r>
    </w:p>
    <w:p w14:paraId="4A608BC0">
      <w:pPr>
        <w:shd w:val="clear"/>
        <w:spacing w:line="360" w:lineRule="auto"/>
        <w:contextualSpacing/>
        <w:rPr>
          <w:rFonts w:hint="eastAsia" w:ascii="宋体" w:hAnsi="宋体"/>
          <w:color w:val="auto"/>
          <w:sz w:val="24"/>
          <w:szCs w:val="20"/>
          <w:highlight w:val="none"/>
        </w:rPr>
      </w:pPr>
      <w:r>
        <w:rPr>
          <w:rFonts w:hint="eastAsia" w:ascii="宋体" w:hAnsi="宋体"/>
          <w:color w:val="auto"/>
          <w:sz w:val="32"/>
          <w:szCs w:val="32"/>
          <w:highlight w:val="none"/>
        </w:rPr>
        <w:t>根据招标文件规定及投标人提供的材料自行编写目录。</w:t>
      </w:r>
    </w:p>
    <w:p w14:paraId="3275E99B">
      <w:pPr>
        <w:shd w:val="clear"/>
        <w:snapToGrid w:val="0"/>
        <w:spacing w:before="50" w:after="120" w:afterLines="50"/>
        <w:jc w:val="left"/>
        <w:rPr>
          <w:rFonts w:hint="eastAsia" w:ascii="宋体" w:hAnsi="宋体"/>
          <w:color w:val="auto"/>
          <w:sz w:val="24"/>
          <w:szCs w:val="20"/>
          <w:highlight w:val="none"/>
        </w:rPr>
      </w:pPr>
    </w:p>
    <w:p w14:paraId="6CA4B336">
      <w:pPr>
        <w:shd w:val="clear"/>
        <w:snapToGrid w:val="0"/>
        <w:spacing w:before="120" w:beforeLines="50" w:after="50"/>
        <w:ind w:left="142"/>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3. 技术要求偏离表格式</w:t>
      </w:r>
    </w:p>
    <w:p w14:paraId="64C0B6D9">
      <w:pPr>
        <w:pStyle w:val="26"/>
        <w:shd w:val="clear"/>
        <w:rPr>
          <w:rFonts w:hint="eastAsia" w:hAnsi="宋体"/>
          <w:color w:val="auto"/>
          <w:sz w:val="24"/>
          <w:szCs w:val="24"/>
          <w:highlight w:val="none"/>
        </w:rPr>
      </w:pPr>
    </w:p>
    <w:p w14:paraId="4554C0B9">
      <w:pPr>
        <w:pStyle w:val="26"/>
        <w:shd w:val="clear"/>
        <w:rPr>
          <w:rFonts w:hint="eastAsia"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p w14:paraId="414E3433">
      <w:pPr>
        <w:shd w:val="clear"/>
        <w:rPr>
          <w:color w:val="auto"/>
          <w:highlight w:val="none"/>
        </w:rPr>
      </w:pPr>
    </w:p>
    <w:tbl>
      <w:tblPr>
        <w:tblStyle w:val="48"/>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745FB7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71130A9F">
            <w:pPr>
              <w:shd w:val="clea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序号</w:t>
            </w:r>
          </w:p>
        </w:tc>
        <w:tc>
          <w:tcPr>
            <w:tcW w:w="3336" w:type="dxa"/>
            <w:tcBorders>
              <w:top w:val="single" w:color="auto" w:sz="4" w:space="0"/>
              <w:left w:val="single" w:color="auto" w:sz="4" w:space="0"/>
              <w:bottom w:val="single" w:color="auto" w:sz="4" w:space="0"/>
              <w:right w:val="single" w:color="auto" w:sz="4" w:space="0"/>
            </w:tcBorders>
          </w:tcPr>
          <w:p w14:paraId="122215C9">
            <w:pPr>
              <w:shd w:val="clea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招标文件技术条款要求</w:t>
            </w:r>
          </w:p>
        </w:tc>
        <w:tc>
          <w:tcPr>
            <w:tcW w:w="1760" w:type="dxa"/>
            <w:tcBorders>
              <w:top w:val="single" w:color="auto" w:sz="4" w:space="0"/>
              <w:left w:val="single" w:color="auto" w:sz="4" w:space="0"/>
              <w:bottom w:val="single" w:color="auto" w:sz="4" w:space="0"/>
              <w:right w:val="single" w:color="auto" w:sz="4" w:space="0"/>
            </w:tcBorders>
          </w:tcPr>
          <w:p w14:paraId="134511D6">
            <w:pPr>
              <w:shd w:val="clea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tcPr>
          <w:p w14:paraId="43C263A7">
            <w:pPr>
              <w:shd w:val="clea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偏离说明</w:t>
            </w:r>
          </w:p>
        </w:tc>
      </w:tr>
      <w:tr w14:paraId="39B962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vAlign w:val="center"/>
          </w:tcPr>
          <w:p w14:paraId="28831B53">
            <w:pPr>
              <w:shd w:val="clear"/>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1</w:t>
            </w:r>
          </w:p>
        </w:tc>
        <w:tc>
          <w:tcPr>
            <w:tcW w:w="3336" w:type="dxa"/>
            <w:tcBorders>
              <w:top w:val="single" w:color="auto" w:sz="4" w:space="0"/>
              <w:left w:val="single" w:color="auto" w:sz="4" w:space="0"/>
              <w:bottom w:val="single" w:color="auto" w:sz="4" w:space="0"/>
              <w:right w:val="single" w:color="auto" w:sz="4" w:space="0"/>
            </w:tcBorders>
          </w:tcPr>
          <w:p w14:paraId="2219A8F7">
            <w:pPr>
              <w:shd w:val="clear"/>
              <w:snapToGrid w:val="0"/>
              <w:spacing w:before="120" w:beforeLines="50"/>
              <w:jc w:val="center"/>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0CDD3E24">
            <w:pPr>
              <w:shd w:val="clear"/>
              <w:snapToGrid w:val="0"/>
              <w:spacing w:before="120" w:beforeLines="5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543D9391">
            <w:pPr>
              <w:shd w:val="clear"/>
              <w:snapToGrid w:val="0"/>
              <w:spacing w:before="120" w:beforeLines="50"/>
              <w:jc w:val="center"/>
              <w:rPr>
                <w:rFonts w:hint="eastAsia" w:ascii="宋体" w:hAnsi="宋体"/>
                <w:color w:val="auto"/>
                <w:sz w:val="24"/>
                <w:highlight w:val="none"/>
              </w:rPr>
            </w:pPr>
          </w:p>
        </w:tc>
      </w:tr>
      <w:tr w14:paraId="232815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vAlign w:val="center"/>
          </w:tcPr>
          <w:p w14:paraId="0B73C979">
            <w:pPr>
              <w:shd w:val="clear"/>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2</w:t>
            </w:r>
          </w:p>
        </w:tc>
        <w:tc>
          <w:tcPr>
            <w:tcW w:w="3336" w:type="dxa"/>
            <w:tcBorders>
              <w:top w:val="single" w:color="auto" w:sz="4" w:space="0"/>
              <w:left w:val="single" w:color="auto" w:sz="4" w:space="0"/>
              <w:bottom w:val="single" w:color="auto" w:sz="4" w:space="0"/>
              <w:right w:val="single" w:color="auto" w:sz="4" w:space="0"/>
            </w:tcBorders>
          </w:tcPr>
          <w:p w14:paraId="7428F4AC">
            <w:pPr>
              <w:shd w:val="clear"/>
              <w:snapToGrid w:val="0"/>
              <w:spacing w:before="120" w:beforeLines="50"/>
              <w:rPr>
                <w:rFonts w:hint="eastAsia" w:ascii="宋体" w:hAnsi="宋体"/>
                <w:color w:val="auto"/>
                <w:sz w:val="24"/>
                <w:highlight w:val="none"/>
                <w:u w:val="single"/>
              </w:rPr>
            </w:pPr>
          </w:p>
        </w:tc>
        <w:tc>
          <w:tcPr>
            <w:tcW w:w="1760" w:type="dxa"/>
            <w:tcBorders>
              <w:top w:val="single" w:color="auto" w:sz="4" w:space="0"/>
              <w:left w:val="single" w:color="auto" w:sz="4" w:space="0"/>
              <w:bottom w:val="single" w:color="auto" w:sz="4" w:space="0"/>
              <w:right w:val="single" w:color="auto" w:sz="4" w:space="0"/>
            </w:tcBorders>
          </w:tcPr>
          <w:p w14:paraId="40080ECF">
            <w:pPr>
              <w:shd w:val="clear"/>
              <w:snapToGrid w:val="0"/>
              <w:spacing w:before="120" w:beforeLines="50"/>
              <w:ind w:left="43"/>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5CCAFE01">
            <w:pPr>
              <w:shd w:val="clear"/>
              <w:snapToGrid w:val="0"/>
              <w:spacing w:before="120" w:beforeLines="50"/>
              <w:ind w:left="43"/>
              <w:jc w:val="center"/>
              <w:rPr>
                <w:rFonts w:hint="eastAsia" w:ascii="宋体" w:hAnsi="宋体"/>
                <w:color w:val="auto"/>
                <w:sz w:val="24"/>
                <w:highlight w:val="none"/>
              </w:rPr>
            </w:pPr>
          </w:p>
        </w:tc>
      </w:tr>
      <w:tr w14:paraId="77E845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54BAC850">
            <w:pPr>
              <w:shd w:val="clea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2.1</w:t>
            </w:r>
          </w:p>
        </w:tc>
        <w:tc>
          <w:tcPr>
            <w:tcW w:w="3336" w:type="dxa"/>
            <w:tcBorders>
              <w:top w:val="single" w:color="auto" w:sz="4" w:space="0"/>
              <w:left w:val="single" w:color="auto" w:sz="4" w:space="0"/>
              <w:bottom w:val="single" w:color="auto" w:sz="4" w:space="0"/>
              <w:right w:val="single" w:color="auto" w:sz="4" w:space="0"/>
            </w:tcBorders>
          </w:tcPr>
          <w:p w14:paraId="78AC5762">
            <w:pPr>
              <w:shd w:val="clear"/>
              <w:snapToGrid w:val="0"/>
              <w:spacing w:before="120" w:beforeLines="50"/>
              <w:jc w:val="center"/>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4C1728C1">
            <w:pPr>
              <w:shd w:val="clear"/>
              <w:snapToGrid w:val="0"/>
              <w:spacing w:before="120" w:beforeLines="5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04B6321E">
            <w:pPr>
              <w:shd w:val="clear"/>
              <w:snapToGrid w:val="0"/>
              <w:spacing w:before="120" w:beforeLines="50"/>
              <w:jc w:val="center"/>
              <w:rPr>
                <w:rFonts w:hint="eastAsia" w:ascii="宋体" w:hAnsi="宋体"/>
                <w:color w:val="auto"/>
                <w:sz w:val="24"/>
                <w:highlight w:val="none"/>
              </w:rPr>
            </w:pPr>
          </w:p>
        </w:tc>
      </w:tr>
      <w:tr w14:paraId="2C7400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1F11B350">
            <w:pPr>
              <w:shd w:val="clear"/>
              <w:snapToGrid w:val="0"/>
              <w:spacing w:before="120" w:beforeLines="50"/>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2.2</w:t>
            </w:r>
          </w:p>
        </w:tc>
        <w:tc>
          <w:tcPr>
            <w:tcW w:w="3336" w:type="dxa"/>
            <w:tcBorders>
              <w:top w:val="single" w:color="auto" w:sz="4" w:space="0"/>
              <w:left w:val="single" w:color="auto" w:sz="4" w:space="0"/>
              <w:bottom w:val="single" w:color="auto" w:sz="4" w:space="0"/>
              <w:right w:val="single" w:color="auto" w:sz="4" w:space="0"/>
            </w:tcBorders>
          </w:tcPr>
          <w:p w14:paraId="2C02D063">
            <w:pPr>
              <w:shd w:val="clear"/>
              <w:snapToGrid w:val="0"/>
              <w:spacing w:before="120" w:beforeLines="50"/>
              <w:jc w:val="center"/>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6871A7DD">
            <w:pPr>
              <w:shd w:val="clear"/>
              <w:snapToGrid w:val="0"/>
              <w:spacing w:before="120" w:beforeLines="5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2AECB1A9">
            <w:pPr>
              <w:shd w:val="clear"/>
              <w:snapToGrid w:val="0"/>
              <w:spacing w:before="120" w:beforeLines="50"/>
              <w:jc w:val="center"/>
              <w:rPr>
                <w:rFonts w:hint="eastAsia" w:ascii="宋体" w:hAnsi="宋体"/>
                <w:color w:val="auto"/>
                <w:sz w:val="24"/>
                <w:highlight w:val="none"/>
              </w:rPr>
            </w:pPr>
          </w:p>
        </w:tc>
      </w:tr>
      <w:tr w14:paraId="01A7C3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7B5DB816">
            <w:pPr>
              <w:shd w:val="clea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tcPr>
          <w:p w14:paraId="28CE5BCA">
            <w:pPr>
              <w:shd w:val="clear"/>
              <w:snapToGrid w:val="0"/>
              <w:spacing w:before="120" w:beforeLines="50"/>
              <w:jc w:val="center"/>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1DA36E2C">
            <w:pPr>
              <w:shd w:val="clear"/>
              <w:snapToGrid w:val="0"/>
              <w:spacing w:before="120" w:beforeLines="5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6695C156">
            <w:pPr>
              <w:shd w:val="clear"/>
              <w:snapToGrid w:val="0"/>
              <w:spacing w:before="120" w:beforeLines="50"/>
              <w:jc w:val="center"/>
              <w:rPr>
                <w:rFonts w:hint="eastAsia" w:ascii="宋体" w:hAnsi="宋体"/>
                <w:color w:val="auto"/>
                <w:sz w:val="24"/>
                <w:highlight w:val="none"/>
              </w:rPr>
            </w:pPr>
          </w:p>
        </w:tc>
      </w:tr>
      <w:tr w14:paraId="707C6A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198491CB">
            <w:pPr>
              <w:shd w:val="clear"/>
              <w:snapToGrid w:val="0"/>
              <w:spacing w:before="120" w:beforeLines="50"/>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3</w:t>
            </w:r>
          </w:p>
        </w:tc>
        <w:tc>
          <w:tcPr>
            <w:tcW w:w="3336" w:type="dxa"/>
            <w:tcBorders>
              <w:top w:val="single" w:color="auto" w:sz="4" w:space="0"/>
              <w:left w:val="single" w:color="auto" w:sz="4" w:space="0"/>
              <w:bottom w:val="single" w:color="auto" w:sz="4" w:space="0"/>
              <w:right w:val="single" w:color="auto" w:sz="4" w:space="0"/>
            </w:tcBorders>
          </w:tcPr>
          <w:p w14:paraId="036E2C10">
            <w:pPr>
              <w:shd w:val="clear"/>
              <w:snapToGrid w:val="0"/>
              <w:spacing w:before="120" w:beforeLines="50"/>
              <w:jc w:val="center"/>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5820F0AA">
            <w:pPr>
              <w:shd w:val="clear"/>
              <w:snapToGrid w:val="0"/>
              <w:spacing w:before="120" w:beforeLines="5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52FEBAF2">
            <w:pPr>
              <w:shd w:val="clear"/>
              <w:snapToGrid w:val="0"/>
              <w:spacing w:before="120" w:beforeLines="50"/>
              <w:jc w:val="center"/>
              <w:rPr>
                <w:rFonts w:hint="eastAsia" w:ascii="宋体" w:hAnsi="宋体"/>
                <w:color w:val="auto"/>
                <w:sz w:val="24"/>
                <w:highlight w:val="none"/>
              </w:rPr>
            </w:pPr>
          </w:p>
        </w:tc>
      </w:tr>
      <w:tr w14:paraId="06B577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629BA115">
            <w:pPr>
              <w:shd w:val="clear"/>
              <w:snapToGrid w:val="0"/>
              <w:spacing w:before="120" w:beforeLines="50"/>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3.1</w:t>
            </w:r>
          </w:p>
        </w:tc>
        <w:tc>
          <w:tcPr>
            <w:tcW w:w="3336" w:type="dxa"/>
            <w:tcBorders>
              <w:top w:val="single" w:color="auto" w:sz="4" w:space="0"/>
              <w:left w:val="single" w:color="auto" w:sz="4" w:space="0"/>
              <w:bottom w:val="single" w:color="auto" w:sz="4" w:space="0"/>
              <w:right w:val="single" w:color="auto" w:sz="4" w:space="0"/>
            </w:tcBorders>
          </w:tcPr>
          <w:p w14:paraId="62D3AE7B">
            <w:pPr>
              <w:shd w:val="clear"/>
              <w:snapToGrid w:val="0"/>
              <w:spacing w:before="120" w:beforeLines="50"/>
              <w:jc w:val="center"/>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1B1CEF33">
            <w:pPr>
              <w:shd w:val="clear"/>
              <w:snapToGrid w:val="0"/>
              <w:spacing w:before="120" w:beforeLines="5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0A2A9535">
            <w:pPr>
              <w:shd w:val="clear"/>
              <w:snapToGrid w:val="0"/>
              <w:spacing w:before="120" w:beforeLines="50"/>
              <w:jc w:val="center"/>
              <w:rPr>
                <w:rFonts w:hint="eastAsia" w:ascii="宋体" w:hAnsi="宋体"/>
                <w:color w:val="auto"/>
                <w:sz w:val="24"/>
                <w:highlight w:val="none"/>
              </w:rPr>
            </w:pPr>
          </w:p>
        </w:tc>
      </w:tr>
      <w:tr w14:paraId="2201E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7222FAA7">
            <w:pPr>
              <w:shd w:val="clear"/>
              <w:snapToGrid w:val="0"/>
              <w:spacing w:before="120" w:beforeLines="50"/>
              <w:jc w:val="center"/>
              <w:rPr>
                <w:rFonts w:hint="default" w:ascii="宋体" w:hAnsi="宋体"/>
                <w:color w:val="auto"/>
                <w:sz w:val="24"/>
                <w:highlight w:val="none"/>
                <w:lang w:val="en-US" w:eastAsia="zh-CN"/>
              </w:rPr>
            </w:pPr>
            <w:r>
              <w:rPr>
                <w:rFonts w:hint="eastAsia" w:ascii="宋体" w:hAnsi="宋体"/>
                <w:color w:val="auto"/>
                <w:sz w:val="24"/>
                <w:highlight w:val="none"/>
                <w:lang w:val="en-US" w:eastAsia="zh-CN"/>
              </w:rPr>
              <w:t>3.2</w:t>
            </w:r>
          </w:p>
        </w:tc>
        <w:tc>
          <w:tcPr>
            <w:tcW w:w="3336" w:type="dxa"/>
            <w:tcBorders>
              <w:top w:val="single" w:color="auto" w:sz="4" w:space="0"/>
              <w:left w:val="single" w:color="auto" w:sz="4" w:space="0"/>
              <w:bottom w:val="single" w:color="auto" w:sz="4" w:space="0"/>
              <w:right w:val="single" w:color="auto" w:sz="4" w:space="0"/>
            </w:tcBorders>
          </w:tcPr>
          <w:p w14:paraId="62BB9EBC">
            <w:pPr>
              <w:shd w:val="clear"/>
              <w:snapToGrid w:val="0"/>
              <w:spacing w:before="120" w:beforeLines="50"/>
              <w:jc w:val="center"/>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4E2709D8">
            <w:pPr>
              <w:shd w:val="clear"/>
              <w:snapToGrid w:val="0"/>
              <w:spacing w:before="120" w:beforeLines="5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093F185B">
            <w:pPr>
              <w:shd w:val="clear"/>
              <w:snapToGrid w:val="0"/>
              <w:spacing w:before="120" w:beforeLines="50"/>
              <w:jc w:val="center"/>
              <w:rPr>
                <w:rFonts w:hint="eastAsia" w:ascii="宋体" w:hAnsi="宋体"/>
                <w:color w:val="auto"/>
                <w:sz w:val="24"/>
                <w:highlight w:val="none"/>
              </w:rPr>
            </w:pPr>
          </w:p>
        </w:tc>
      </w:tr>
      <w:tr w14:paraId="5911D5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68C30C12">
            <w:pPr>
              <w:shd w:val="clear"/>
              <w:snapToGrid w:val="0"/>
              <w:spacing w:before="120" w:beforeLines="50"/>
              <w:jc w:val="center"/>
              <w:rPr>
                <w:rFonts w:hint="default" w:ascii="宋体" w:hAnsi="宋体"/>
                <w:color w:val="auto"/>
                <w:sz w:val="24"/>
                <w:highlight w:val="none"/>
                <w:lang w:val="en-US" w:eastAsia="zh-CN"/>
              </w:rPr>
            </w:pPr>
            <w:r>
              <w:rPr>
                <w:rFonts w:hint="eastAsia" w:ascii="宋体" w:hAnsi="宋体"/>
                <w:color w:val="auto"/>
                <w:sz w:val="24"/>
                <w:highlight w:val="none"/>
                <w:lang w:val="en-US" w:eastAsia="zh-CN"/>
              </w:rPr>
              <w:t>…</w:t>
            </w:r>
          </w:p>
        </w:tc>
        <w:tc>
          <w:tcPr>
            <w:tcW w:w="3336" w:type="dxa"/>
            <w:tcBorders>
              <w:top w:val="single" w:color="auto" w:sz="4" w:space="0"/>
              <w:left w:val="single" w:color="auto" w:sz="4" w:space="0"/>
              <w:bottom w:val="single" w:color="auto" w:sz="4" w:space="0"/>
              <w:right w:val="single" w:color="auto" w:sz="4" w:space="0"/>
            </w:tcBorders>
          </w:tcPr>
          <w:p w14:paraId="1735E349">
            <w:pPr>
              <w:shd w:val="clear"/>
              <w:snapToGrid w:val="0"/>
              <w:spacing w:before="120" w:beforeLines="50"/>
              <w:jc w:val="center"/>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12F32780">
            <w:pPr>
              <w:shd w:val="clear"/>
              <w:snapToGrid w:val="0"/>
              <w:spacing w:before="120" w:beforeLines="5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4C79FF57">
            <w:pPr>
              <w:shd w:val="clear"/>
              <w:snapToGrid w:val="0"/>
              <w:spacing w:before="120" w:beforeLines="50"/>
              <w:jc w:val="center"/>
              <w:rPr>
                <w:rFonts w:hint="eastAsia" w:ascii="宋体" w:hAnsi="宋体"/>
                <w:color w:val="auto"/>
                <w:sz w:val="24"/>
                <w:highlight w:val="none"/>
              </w:rPr>
            </w:pPr>
          </w:p>
        </w:tc>
      </w:tr>
    </w:tbl>
    <w:p w14:paraId="701C4ECB">
      <w:pPr>
        <w:shd w:val="clear"/>
        <w:snapToGrid w:val="0"/>
        <w:spacing w:before="120" w:beforeLines="50" w:after="50"/>
        <w:ind w:left="142"/>
        <w:jc w:val="left"/>
        <w:rPr>
          <w:rFonts w:hint="eastAsia" w:ascii="宋体" w:hAnsi="宋体"/>
          <w:b/>
          <w:color w:val="auto"/>
          <w:sz w:val="24"/>
          <w:highlight w:val="none"/>
        </w:rPr>
      </w:pPr>
    </w:p>
    <w:p w14:paraId="4852EDD9">
      <w:pPr>
        <w:pStyle w:val="18"/>
        <w:shd w:val="clear"/>
        <w:rPr>
          <w:rFonts w:hint="eastAsia" w:ascii="宋体" w:hAnsi="宋体"/>
          <w:color w:val="auto"/>
          <w:highlight w:val="none"/>
        </w:rPr>
      </w:pPr>
      <w:r>
        <w:rPr>
          <w:rFonts w:hint="eastAsia" w:ascii="宋体" w:hAnsi="宋体"/>
          <w:color w:val="auto"/>
          <w:highlight w:val="none"/>
        </w:rPr>
        <w:t>注：</w:t>
      </w:r>
    </w:p>
    <w:p w14:paraId="7AA7C665">
      <w:pPr>
        <w:pStyle w:val="20"/>
        <w:shd w:val="clear"/>
        <w:spacing w:line="360" w:lineRule="auto"/>
        <w:ind w:firstLine="0" w:firstLineChars="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1. 说明：应对照招标文件“第二章 采购需求”中的“一、项目要求及技术需求”逐条作明确的投标响应，并作出偏离说明。</w:t>
      </w:r>
    </w:p>
    <w:p w14:paraId="4AF4A885">
      <w:pPr>
        <w:pStyle w:val="20"/>
        <w:shd w:val="clear"/>
        <w:spacing w:line="360" w:lineRule="auto"/>
        <w:ind w:firstLine="0" w:firstLineChars="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2.投标人应根据自身的承诺，对照招标文件要求，在“偏离说明”中注明“正偏离”、“负偏离”或者“无偏离”。既不属于“正偏离”也不属于“负偏离”即为“无偏离”。</w:t>
      </w:r>
    </w:p>
    <w:p w14:paraId="08414D37">
      <w:pPr>
        <w:pStyle w:val="20"/>
        <w:shd w:val="clear"/>
        <w:spacing w:line="360" w:lineRule="auto"/>
        <w:ind w:firstLine="0" w:firstLineChars="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3</w:t>
      </w:r>
      <w:r>
        <w:rPr>
          <w:rFonts w:ascii="宋体" w:hAnsi="宋体" w:eastAsia="宋体"/>
          <w:color w:val="auto"/>
          <w:sz w:val="24"/>
          <w:szCs w:val="24"/>
          <w:highlight w:val="none"/>
        </w:rPr>
        <w:t>.</w:t>
      </w:r>
      <w:r>
        <w:rPr>
          <w:rFonts w:hint="eastAsia" w:ascii="宋体" w:hAnsi="宋体" w:eastAsia="宋体"/>
          <w:color w:val="auto"/>
          <w:sz w:val="24"/>
          <w:szCs w:val="24"/>
          <w:highlight w:val="none"/>
        </w:rPr>
        <w:t xml:space="preserve"> 如技术要求偏离表中的投标响应与佐证材料不一致的，以佐证材料为准。</w:t>
      </w:r>
    </w:p>
    <w:p w14:paraId="5E49B103">
      <w:pPr>
        <w:shd w:val="clear"/>
        <w:snapToGrid w:val="0"/>
        <w:spacing w:before="50" w:after="50" w:line="360" w:lineRule="auto"/>
        <w:rPr>
          <w:rFonts w:hint="eastAsia" w:ascii="宋体" w:hAnsi="宋体"/>
          <w:color w:val="auto"/>
          <w:sz w:val="24"/>
          <w:highlight w:val="none"/>
        </w:rPr>
      </w:pPr>
    </w:p>
    <w:p w14:paraId="7A3E5754">
      <w:pPr>
        <w:shd w:val="clear"/>
        <w:snapToGrid w:val="0"/>
        <w:spacing w:before="50" w:after="50" w:line="360" w:lineRule="auto"/>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r>
        <w:rPr>
          <w:rFonts w:hint="eastAsia" w:ascii="宋体" w:hAnsi="宋体"/>
          <w:color w:val="auto"/>
          <w:spacing w:val="20"/>
          <w:sz w:val="24"/>
          <w:highlight w:val="none"/>
          <w:u w:val="single"/>
        </w:rPr>
        <w:t xml:space="preserve">        </w:t>
      </w:r>
    </w:p>
    <w:p w14:paraId="18B96490">
      <w:pPr>
        <w:shd w:val="clear"/>
        <w:snapToGrid w:val="0"/>
        <w:spacing w:before="50" w:after="50" w:line="360" w:lineRule="auto"/>
        <w:rPr>
          <w:rFonts w:hint="eastAsia" w:ascii="宋体" w:hAnsi="宋体"/>
          <w:color w:val="auto"/>
          <w:spacing w:val="20"/>
          <w:sz w:val="24"/>
          <w:highlight w:val="none"/>
        </w:rPr>
      </w:pPr>
      <w:r>
        <w:rPr>
          <w:rFonts w:hint="eastAsia" w:ascii="宋体" w:hAnsi="宋体"/>
          <w:color w:val="auto"/>
          <w:spacing w:val="20"/>
          <w:sz w:val="24"/>
          <w:highlight w:val="none"/>
        </w:rPr>
        <w:t>投标人（盖</w:t>
      </w:r>
      <w:r>
        <w:rPr>
          <w:rFonts w:hint="eastAsia" w:ascii="宋体" w:hAnsi="宋体"/>
          <w:color w:val="auto"/>
          <w:spacing w:val="20"/>
          <w:sz w:val="24"/>
          <w:highlight w:val="none"/>
          <w:lang w:val="en-US" w:eastAsia="zh-CN"/>
        </w:rPr>
        <w:t>公章</w:t>
      </w:r>
      <w:r>
        <w:rPr>
          <w:rFonts w:hint="eastAsia" w:ascii="宋体" w:hAnsi="宋体"/>
          <w:color w:val="auto"/>
          <w:spacing w:val="20"/>
          <w:sz w:val="24"/>
          <w:highlight w:val="none"/>
        </w:rPr>
        <w:t>）：</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20CBC504">
      <w:pPr>
        <w:shd w:val="clear"/>
        <w:snapToGrid w:val="0"/>
        <w:spacing w:before="50" w:after="50" w:line="360" w:lineRule="auto"/>
        <w:rPr>
          <w:rFonts w:hint="eastAsia" w:ascii="宋体" w:hAnsi="宋体"/>
          <w:color w:val="auto"/>
          <w:spacing w:val="20"/>
          <w:sz w:val="24"/>
          <w:highlight w:val="none"/>
          <w:u w:val="singl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25B88B00">
      <w:pPr>
        <w:shd w:val="clear"/>
        <w:snapToGrid w:val="0"/>
        <w:spacing w:before="50" w:after="50" w:line="360" w:lineRule="auto"/>
        <w:rPr>
          <w:rFonts w:hint="eastAsia" w:ascii="宋体" w:hAnsi="宋体"/>
          <w:color w:val="auto"/>
          <w:sz w:val="24"/>
          <w:szCs w:val="20"/>
          <w:highlight w:val="none"/>
        </w:rPr>
      </w:pPr>
    </w:p>
    <w:p w14:paraId="497BB597">
      <w:pPr>
        <w:shd w:val="clear"/>
        <w:snapToGrid w:val="0"/>
        <w:spacing w:before="120" w:beforeLines="50" w:after="50"/>
        <w:ind w:left="142"/>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4. 项目实施人员一览表格式</w:t>
      </w:r>
    </w:p>
    <w:p w14:paraId="083B00CF">
      <w:pPr>
        <w:shd w:val="clear"/>
        <w:spacing w:line="360" w:lineRule="auto"/>
        <w:jc w:val="center"/>
        <w:rPr>
          <w:rFonts w:hint="eastAsia" w:ascii="宋体" w:hAnsi="宋体" w:cs="宋体"/>
          <w:b/>
          <w:bCs/>
          <w:color w:val="auto"/>
          <w:sz w:val="24"/>
          <w:highlight w:val="none"/>
        </w:rPr>
      </w:pPr>
      <w:r>
        <w:rPr>
          <w:rFonts w:hint="eastAsia" w:ascii="宋体" w:hAnsi="宋体" w:cs="宋体"/>
          <w:color w:val="auto"/>
          <w:sz w:val="24"/>
          <w:highlight w:val="none"/>
        </w:rPr>
        <w:t>（由投标人根据采购需求及招标文件要求编制）</w:t>
      </w:r>
    </w:p>
    <w:p w14:paraId="3EA5D89A">
      <w:pPr>
        <w:shd w:val="clear"/>
        <w:rPr>
          <w:rFonts w:hint="eastAsia" w:ascii="宋体" w:hAnsi="宋体" w:cs="宋体"/>
          <w:color w:val="auto"/>
          <w:sz w:val="24"/>
          <w:highlight w:val="none"/>
        </w:rPr>
      </w:pPr>
      <w:r>
        <w:rPr>
          <w:rFonts w:hint="eastAsia" w:ascii="宋体" w:hAnsi="宋体" w:cs="宋体"/>
          <w:color w:val="auto"/>
          <w:sz w:val="24"/>
          <w:highlight w:val="none"/>
        </w:rPr>
        <w:t>所投分标：</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分标</w:t>
      </w:r>
    </w:p>
    <w:p w14:paraId="173D247F">
      <w:pPr>
        <w:keepNext/>
        <w:shd w:val="clear"/>
        <w:autoSpaceDE w:val="0"/>
        <w:autoSpaceDN w:val="0"/>
        <w:spacing w:line="360" w:lineRule="auto"/>
        <w:ind w:firstLine="477"/>
        <w:rPr>
          <w:rFonts w:hint="eastAsia" w:ascii="宋体" w:hAnsi="宋体" w:cs="宋体"/>
          <w:b/>
          <w:color w:val="auto"/>
          <w:sz w:val="24"/>
          <w:highlight w:val="none"/>
        </w:rPr>
      </w:pPr>
      <w:r>
        <w:rPr>
          <w:rFonts w:hint="eastAsia" w:ascii="宋体" w:hAnsi="宋体" w:cs="宋体"/>
          <w:b/>
          <w:color w:val="auto"/>
          <w:sz w:val="24"/>
          <w:highlight w:val="none"/>
        </w:rPr>
        <w:t>附表A：本项目</w:t>
      </w:r>
      <w:r>
        <w:rPr>
          <w:rFonts w:hint="eastAsia" w:ascii="宋体" w:hAnsi="宋体" w:cs="宋体"/>
          <w:b/>
          <w:color w:val="auto"/>
          <w:sz w:val="24"/>
          <w:highlight w:val="none"/>
          <w:lang w:val="en-US" w:eastAsia="zh-CN"/>
        </w:rPr>
        <w:t>项目负责人人员</w:t>
      </w:r>
      <w:r>
        <w:rPr>
          <w:rFonts w:hint="eastAsia" w:ascii="宋体" w:hAnsi="宋体" w:cs="宋体"/>
          <w:b/>
          <w:color w:val="auto"/>
          <w:sz w:val="24"/>
          <w:highlight w:val="none"/>
        </w:rPr>
        <w:t>情况表</w:t>
      </w:r>
    </w:p>
    <w:tbl>
      <w:tblPr>
        <w:tblStyle w:val="48"/>
        <w:tblW w:w="4998" w:type="pct"/>
        <w:tblInd w:w="0" w:type="dxa"/>
        <w:tblLayout w:type="autofit"/>
        <w:tblCellMar>
          <w:top w:w="0" w:type="dxa"/>
          <w:left w:w="108" w:type="dxa"/>
          <w:bottom w:w="0" w:type="dxa"/>
          <w:right w:w="108" w:type="dxa"/>
        </w:tblCellMar>
      </w:tblPr>
      <w:tblGrid>
        <w:gridCol w:w="2006"/>
        <w:gridCol w:w="1252"/>
        <w:gridCol w:w="1227"/>
        <w:gridCol w:w="4040"/>
      </w:tblGrid>
      <w:tr w14:paraId="73C9EF71">
        <w:tblPrEx>
          <w:tblCellMar>
            <w:top w:w="0" w:type="dxa"/>
            <w:left w:w="108" w:type="dxa"/>
            <w:bottom w:w="0" w:type="dxa"/>
            <w:right w:w="108" w:type="dxa"/>
          </w:tblCellMar>
        </w:tblPrEx>
        <w:trPr>
          <w:trHeight w:val="1468" w:hRule="atLeast"/>
        </w:trPr>
        <w:tc>
          <w:tcPr>
            <w:tcW w:w="1176" w:type="pct"/>
            <w:tcBorders>
              <w:top w:val="single" w:color="auto" w:sz="6" w:space="0"/>
              <w:left w:val="single" w:color="auto" w:sz="6" w:space="0"/>
              <w:bottom w:val="single" w:color="auto" w:sz="6" w:space="0"/>
              <w:right w:val="single" w:color="auto" w:sz="6" w:space="0"/>
            </w:tcBorders>
            <w:vAlign w:val="center"/>
          </w:tcPr>
          <w:p w14:paraId="2C0DF3F8">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734" w:type="pct"/>
            <w:tcBorders>
              <w:top w:val="single" w:color="auto" w:sz="6" w:space="0"/>
              <w:left w:val="single" w:color="auto" w:sz="6" w:space="0"/>
              <w:bottom w:val="single" w:color="auto" w:sz="6" w:space="0"/>
              <w:right w:val="single" w:color="auto" w:sz="4" w:space="0"/>
            </w:tcBorders>
            <w:vAlign w:val="center"/>
          </w:tcPr>
          <w:p w14:paraId="1A3DD1ED">
            <w:pPr>
              <w:shd w:val="clear"/>
              <w:autoSpaceDE w:val="0"/>
              <w:autoSpaceDN w:val="0"/>
              <w:spacing w:line="360" w:lineRule="auto"/>
              <w:jc w:val="center"/>
              <w:rPr>
                <w:rFonts w:hint="eastAsia" w:ascii="宋体" w:hAnsi="宋体" w:cs="宋体"/>
                <w:color w:val="auto"/>
                <w:sz w:val="24"/>
                <w:highlight w:val="none"/>
              </w:rPr>
            </w:pPr>
          </w:p>
        </w:tc>
        <w:tc>
          <w:tcPr>
            <w:tcW w:w="719" w:type="pct"/>
            <w:tcBorders>
              <w:top w:val="single" w:color="auto" w:sz="6" w:space="0"/>
              <w:left w:val="single" w:color="auto" w:sz="4" w:space="0"/>
              <w:bottom w:val="single" w:color="auto" w:sz="6" w:space="0"/>
              <w:right w:val="single" w:color="auto" w:sz="6" w:space="0"/>
            </w:tcBorders>
            <w:vAlign w:val="center"/>
          </w:tcPr>
          <w:p w14:paraId="1350677D">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2368" w:type="pct"/>
            <w:tcBorders>
              <w:top w:val="single" w:color="auto" w:sz="6" w:space="0"/>
              <w:left w:val="single" w:color="auto" w:sz="6" w:space="0"/>
              <w:bottom w:val="single" w:color="auto" w:sz="6" w:space="0"/>
              <w:right w:val="single" w:color="auto" w:sz="6" w:space="0"/>
            </w:tcBorders>
            <w:vAlign w:val="center"/>
          </w:tcPr>
          <w:p w14:paraId="5910891A">
            <w:pPr>
              <w:shd w:val="clear"/>
              <w:autoSpaceDE w:val="0"/>
              <w:autoSpaceDN w:val="0"/>
              <w:spacing w:line="360" w:lineRule="auto"/>
              <w:rPr>
                <w:rFonts w:hint="eastAsia" w:ascii="宋体" w:hAnsi="宋体" w:cs="宋体"/>
                <w:color w:val="auto"/>
                <w:sz w:val="24"/>
                <w:highlight w:val="none"/>
              </w:rPr>
            </w:pPr>
            <w:r>
              <w:rPr>
                <w:rFonts w:hint="eastAsia" w:ascii="宋体" w:hAnsi="宋体" w:cs="宋体"/>
                <w:color w:val="auto"/>
                <w:sz w:val="24"/>
                <w:highlight w:val="none"/>
              </w:rPr>
              <w:t>投标截止时间前三年业绩及承担的主要工作情况，曾担任项目应列明细</w:t>
            </w:r>
          </w:p>
        </w:tc>
      </w:tr>
      <w:tr w14:paraId="0026D2B6">
        <w:tblPrEx>
          <w:tblCellMar>
            <w:top w:w="0" w:type="dxa"/>
            <w:left w:w="108" w:type="dxa"/>
            <w:bottom w:w="0" w:type="dxa"/>
            <w:right w:w="108" w:type="dxa"/>
          </w:tblCellMar>
        </w:tblPrEx>
        <w:trPr>
          <w:cantSplit/>
          <w:trHeight w:val="499" w:hRule="atLeast"/>
        </w:trPr>
        <w:tc>
          <w:tcPr>
            <w:tcW w:w="1176" w:type="pct"/>
            <w:tcBorders>
              <w:top w:val="single" w:color="auto" w:sz="6" w:space="0"/>
              <w:left w:val="single" w:color="auto" w:sz="6" w:space="0"/>
              <w:bottom w:val="single" w:color="auto" w:sz="6" w:space="0"/>
              <w:right w:val="single" w:color="auto" w:sz="6" w:space="0"/>
            </w:tcBorders>
            <w:vAlign w:val="center"/>
          </w:tcPr>
          <w:p w14:paraId="5CA997E3">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734" w:type="pct"/>
            <w:tcBorders>
              <w:top w:val="single" w:color="auto" w:sz="6" w:space="0"/>
              <w:left w:val="single" w:color="auto" w:sz="6" w:space="0"/>
              <w:bottom w:val="single" w:color="auto" w:sz="6" w:space="0"/>
              <w:right w:val="single" w:color="auto" w:sz="4" w:space="0"/>
            </w:tcBorders>
            <w:vAlign w:val="center"/>
          </w:tcPr>
          <w:p w14:paraId="20841A08">
            <w:pPr>
              <w:shd w:val="clear"/>
              <w:autoSpaceDE w:val="0"/>
              <w:autoSpaceDN w:val="0"/>
              <w:spacing w:line="360" w:lineRule="auto"/>
              <w:jc w:val="center"/>
              <w:rPr>
                <w:rFonts w:hint="eastAsia" w:ascii="宋体" w:hAnsi="宋体" w:cs="宋体"/>
                <w:color w:val="auto"/>
                <w:sz w:val="24"/>
                <w:highlight w:val="none"/>
              </w:rPr>
            </w:pPr>
          </w:p>
        </w:tc>
        <w:tc>
          <w:tcPr>
            <w:tcW w:w="719" w:type="pct"/>
            <w:tcBorders>
              <w:top w:val="single" w:color="auto" w:sz="6" w:space="0"/>
              <w:left w:val="single" w:color="auto" w:sz="4" w:space="0"/>
              <w:bottom w:val="single" w:color="auto" w:sz="6" w:space="0"/>
              <w:right w:val="single" w:color="auto" w:sz="6" w:space="0"/>
            </w:tcBorders>
            <w:vAlign w:val="center"/>
          </w:tcPr>
          <w:p w14:paraId="08129650">
            <w:pPr>
              <w:shd w:val="clear"/>
              <w:autoSpaceDE w:val="0"/>
              <w:autoSpaceDN w:val="0"/>
              <w:spacing w:line="360" w:lineRule="auto"/>
              <w:jc w:val="center"/>
              <w:rPr>
                <w:rFonts w:hint="eastAsia" w:ascii="宋体" w:hAnsi="宋体" w:cs="宋体"/>
                <w:color w:val="auto"/>
                <w:sz w:val="24"/>
                <w:highlight w:val="none"/>
              </w:rPr>
            </w:pPr>
          </w:p>
        </w:tc>
        <w:tc>
          <w:tcPr>
            <w:tcW w:w="2368" w:type="pct"/>
            <w:vMerge w:val="restart"/>
            <w:tcBorders>
              <w:top w:val="single" w:color="auto" w:sz="6" w:space="0"/>
              <w:left w:val="single" w:color="auto" w:sz="6" w:space="0"/>
              <w:bottom w:val="single" w:color="auto" w:sz="6" w:space="0"/>
              <w:right w:val="single" w:color="auto" w:sz="6" w:space="0"/>
            </w:tcBorders>
            <w:vAlign w:val="center"/>
          </w:tcPr>
          <w:p w14:paraId="0225A1E9">
            <w:pPr>
              <w:shd w:val="clear"/>
              <w:autoSpaceDE w:val="0"/>
              <w:autoSpaceDN w:val="0"/>
              <w:spacing w:line="360" w:lineRule="auto"/>
              <w:jc w:val="center"/>
              <w:rPr>
                <w:rFonts w:hint="eastAsia" w:ascii="宋体" w:hAnsi="宋体" w:cs="宋体"/>
                <w:color w:val="auto"/>
                <w:sz w:val="24"/>
                <w:highlight w:val="none"/>
              </w:rPr>
            </w:pPr>
          </w:p>
        </w:tc>
      </w:tr>
      <w:tr w14:paraId="0D480C1D">
        <w:tblPrEx>
          <w:tblCellMar>
            <w:top w:w="0" w:type="dxa"/>
            <w:left w:w="108" w:type="dxa"/>
            <w:bottom w:w="0" w:type="dxa"/>
            <w:right w:w="108" w:type="dxa"/>
          </w:tblCellMar>
        </w:tblPrEx>
        <w:trPr>
          <w:cantSplit/>
          <w:trHeight w:val="499" w:hRule="atLeast"/>
        </w:trPr>
        <w:tc>
          <w:tcPr>
            <w:tcW w:w="1176" w:type="pct"/>
            <w:tcBorders>
              <w:top w:val="single" w:color="auto" w:sz="6" w:space="0"/>
              <w:left w:val="single" w:color="auto" w:sz="6" w:space="0"/>
              <w:bottom w:val="single" w:color="auto" w:sz="6" w:space="0"/>
              <w:right w:val="single" w:color="auto" w:sz="6" w:space="0"/>
            </w:tcBorders>
            <w:vAlign w:val="center"/>
          </w:tcPr>
          <w:p w14:paraId="2FA04191">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年龄</w:t>
            </w:r>
          </w:p>
        </w:tc>
        <w:tc>
          <w:tcPr>
            <w:tcW w:w="734" w:type="pct"/>
            <w:tcBorders>
              <w:top w:val="single" w:color="auto" w:sz="6" w:space="0"/>
              <w:left w:val="single" w:color="auto" w:sz="6" w:space="0"/>
              <w:bottom w:val="single" w:color="auto" w:sz="6" w:space="0"/>
              <w:right w:val="single" w:color="auto" w:sz="4" w:space="0"/>
            </w:tcBorders>
            <w:vAlign w:val="center"/>
          </w:tcPr>
          <w:p w14:paraId="2EBB5DE6">
            <w:pPr>
              <w:shd w:val="clear"/>
              <w:autoSpaceDE w:val="0"/>
              <w:autoSpaceDN w:val="0"/>
              <w:spacing w:line="360" w:lineRule="auto"/>
              <w:jc w:val="center"/>
              <w:rPr>
                <w:rFonts w:hint="eastAsia" w:ascii="宋体" w:hAnsi="宋体" w:cs="宋体"/>
                <w:color w:val="auto"/>
                <w:sz w:val="24"/>
                <w:highlight w:val="none"/>
              </w:rPr>
            </w:pPr>
          </w:p>
        </w:tc>
        <w:tc>
          <w:tcPr>
            <w:tcW w:w="719" w:type="pct"/>
            <w:tcBorders>
              <w:top w:val="single" w:color="auto" w:sz="6" w:space="0"/>
              <w:left w:val="single" w:color="auto" w:sz="4" w:space="0"/>
              <w:bottom w:val="single" w:color="auto" w:sz="6" w:space="0"/>
              <w:right w:val="single" w:color="auto" w:sz="6" w:space="0"/>
            </w:tcBorders>
            <w:vAlign w:val="center"/>
          </w:tcPr>
          <w:p w14:paraId="1858D9D2">
            <w:pPr>
              <w:shd w:val="clear"/>
              <w:autoSpaceDE w:val="0"/>
              <w:autoSpaceDN w:val="0"/>
              <w:spacing w:line="360" w:lineRule="auto"/>
              <w:jc w:val="center"/>
              <w:rPr>
                <w:rFonts w:hint="eastAsia" w:ascii="宋体" w:hAnsi="宋体" w:cs="宋体"/>
                <w:color w:val="auto"/>
                <w:sz w:val="24"/>
                <w:highlight w:val="none"/>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2BD4F206">
            <w:pPr>
              <w:widowControl/>
              <w:shd w:val="clear"/>
              <w:jc w:val="left"/>
              <w:rPr>
                <w:rFonts w:hint="eastAsia" w:ascii="宋体" w:hAnsi="宋体" w:cs="宋体"/>
                <w:color w:val="auto"/>
                <w:sz w:val="24"/>
                <w:highlight w:val="none"/>
              </w:rPr>
            </w:pPr>
          </w:p>
        </w:tc>
      </w:tr>
      <w:tr w14:paraId="65086496">
        <w:tblPrEx>
          <w:tblCellMar>
            <w:top w:w="0" w:type="dxa"/>
            <w:left w:w="108" w:type="dxa"/>
            <w:bottom w:w="0" w:type="dxa"/>
            <w:right w:w="108" w:type="dxa"/>
          </w:tblCellMar>
        </w:tblPrEx>
        <w:trPr>
          <w:cantSplit/>
          <w:trHeight w:val="499" w:hRule="atLeast"/>
        </w:trPr>
        <w:tc>
          <w:tcPr>
            <w:tcW w:w="1176" w:type="pct"/>
            <w:tcBorders>
              <w:top w:val="single" w:color="auto" w:sz="6" w:space="0"/>
              <w:left w:val="single" w:color="auto" w:sz="6" w:space="0"/>
              <w:bottom w:val="single" w:color="auto" w:sz="6" w:space="0"/>
              <w:right w:val="single" w:color="auto" w:sz="6" w:space="0"/>
            </w:tcBorders>
            <w:vAlign w:val="center"/>
          </w:tcPr>
          <w:p w14:paraId="6574D10A">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职称</w:t>
            </w:r>
          </w:p>
        </w:tc>
        <w:tc>
          <w:tcPr>
            <w:tcW w:w="734" w:type="pct"/>
            <w:tcBorders>
              <w:top w:val="single" w:color="auto" w:sz="6" w:space="0"/>
              <w:left w:val="single" w:color="auto" w:sz="6" w:space="0"/>
              <w:bottom w:val="single" w:color="auto" w:sz="6" w:space="0"/>
              <w:right w:val="single" w:color="auto" w:sz="4" w:space="0"/>
            </w:tcBorders>
            <w:vAlign w:val="center"/>
          </w:tcPr>
          <w:p w14:paraId="4DCF3E99">
            <w:pPr>
              <w:shd w:val="clear"/>
              <w:autoSpaceDE w:val="0"/>
              <w:autoSpaceDN w:val="0"/>
              <w:spacing w:line="360" w:lineRule="auto"/>
              <w:jc w:val="center"/>
              <w:rPr>
                <w:rFonts w:hint="eastAsia" w:ascii="宋体" w:hAnsi="宋体" w:cs="宋体"/>
                <w:color w:val="auto"/>
                <w:sz w:val="24"/>
                <w:highlight w:val="none"/>
              </w:rPr>
            </w:pPr>
          </w:p>
        </w:tc>
        <w:tc>
          <w:tcPr>
            <w:tcW w:w="719" w:type="pct"/>
            <w:tcBorders>
              <w:top w:val="single" w:color="auto" w:sz="6" w:space="0"/>
              <w:left w:val="single" w:color="auto" w:sz="4" w:space="0"/>
              <w:bottom w:val="single" w:color="auto" w:sz="6" w:space="0"/>
              <w:right w:val="single" w:color="auto" w:sz="6" w:space="0"/>
            </w:tcBorders>
            <w:vAlign w:val="center"/>
          </w:tcPr>
          <w:p w14:paraId="1C75D989">
            <w:pPr>
              <w:shd w:val="clear"/>
              <w:autoSpaceDE w:val="0"/>
              <w:autoSpaceDN w:val="0"/>
              <w:spacing w:line="360" w:lineRule="auto"/>
              <w:jc w:val="center"/>
              <w:rPr>
                <w:rFonts w:hint="eastAsia" w:ascii="宋体" w:hAnsi="宋体" w:cs="宋体"/>
                <w:color w:val="auto"/>
                <w:sz w:val="24"/>
                <w:highlight w:val="none"/>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5ED62B11">
            <w:pPr>
              <w:widowControl/>
              <w:shd w:val="clear"/>
              <w:jc w:val="left"/>
              <w:rPr>
                <w:rFonts w:hint="eastAsia" w:ascii="宋体" w:hAnsi="宋体" w:cs="宋体"/>
                <w:color w:val="auto"/>
                <w:sz w:val="24"/>
                <w:highlight w:val="none"/>
              </w:rPr>
            </w:pPr>
          </w:p>
        </w:tc>
      </w:tr>
      <w:tr w14:paraId="67AEAD21">
        <w:tblPrEx>
          <w:tblCellMar>
            <w:top w:w="0" w:type="dxa"/>
            <w:left w:w="108" w:type="dxa"/>
            <w:bottom w:w="0" w:type="dxa"/>
            <w:right w:w="108" w:type="dxa"/>
          </w:tblCellMar>
        </w:tblPrEx>
        <w:trPr>
          <w:cantSplit/>
          <w:trHeight w:val="499" w:hRule="atLeast"/>
        </w:trPr>
        <w:tc>
          <w:tcPr>
            <w:tcW w:w="1176" w:type="pct"/>
            <w:tcBorders>
              <w:top w:val="single" w:color="auto" w:sz="6" w:space="0"/>
              <w:left w:val="single" w:color="auto" w:sz="6" w:space="0"/>
              <w:bottom w:val="single" w:color="auto" w:sz="6" w:space="0"/>
              <w:right w:val="single" w:color="auto" w:sz="6" w:space="0"/>
            </w:tcBorders>
            <w:vAlign w:val="center"/>
          </w:tcPr>
          <w:p w14:paraId="6E5E9AE9">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毕业时间</w:t>
            </w:r>
          </w:p>
        </w:tc>
        <w:tc>
          <w:tcPr>
            <w:tcW w:w="734" w:type="pct"/>
            <w:tcBorders>
              <w:top w:val="single" w:color="auto" w:sz="6" w:space="0"/>
              <w:left w:val="single" w:color="auto" w:sz="6" w:space="0"/>
              <w:bottom w:val="single" w:color="auto" w:sz="6" w:space="0"/>
              <w:right w:val="single" w:color="auto" w:sz="4" w:space="0"/>
            </w:tcBorders>
            <w:vAlign w:val="center"/>
          </w:tcPr>
          <w:p w14:paraId="6E9DF231">
            <w:pPr>
              <w:shd w:val="clear"/>
              <w:autoSpaceDE w:val="0"/>
              <w:autoSpaceDN w:val="0"/>
              <w:spacing w:line="360" w:lineRule="auto"/>
              <w:jc w:val="center"/>
              <w:rPr>
                <w:rFonts w:hint="eastAsia" w:ascii="宋体" w:hAnsi="宋体" w:cs="宋体"/>
                <w:color w:val="auto"/>
                <w:sz w:val="24"/>
                <w:highlight w:val="none"/>
              </w:rPr>
            </w:pPr>
          </w:p>
        </w:tc>
        <w:tc>
          <w:tcPr>
            <w:tcW w:w="719" w:type="pct"/>
            <w:tcBorders>
              <w:top w:val="single" w:color="auto" w:sz="6" w:space="0"/>
              <w:left w:val="single" w:color="auto" w:sz="4" w:space="0"/>
              <w:bottom w:val="single" w:color="auto" w:sz="6" w:space="0"/>
              <w:right w:val="single" w:color="auto" w:sz="6" w:space="0"/>
            </w:tcBorders>
            <w:vAlign w:val="center"/>
          </w:tcPr>
          <w:p w14:paraId="27560BEC">
            <w:pPr>
              <w:shd w:val="clear"/>
              <w:autoSpaceDE w:val="0"/>
              <w:autoSpaceDN w:val="0"/>
              <w:spacing w:line="360" w:lineRule="auto"/>
              <w:jc w:val="center"/>
              <w:rPr>
                <w:rFonts w:hint="eastAsia" w:ascii="宋体" w:hAnsi="宋体" w:cs="宋体"/>
                <w:color w:val="auto"/>
                <w:sz w:val="24"/>
                <w:highlight w:val="none"/>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57BD3514">
            <w:pPr>
              <w:widowControl/>
              <w:shd w:val="clear"/>
              <w:jc w:val="left"/>
              <w:rPr>
                <w:rFonts w:hint="eastAsia" w:ascii="宋体" w:hAnsi="宋体" w:cs="宋体"/>
                <w:color w:val="auto"/>
                <w:sz w:val="24"/>
                <w:highlight w:val="none"/>
              </w:rPr>
            </w:pPr>
          </w:p>
        </w:tc>
      </w:tr>
      <w:tr w14:paraId="4FD76130">
        <w:tblPrEx>
          <w:tblCellMar>
            <w:top w:w="0" w:type="dxa"/>
            <w:left w:w="108" w:type="dxa"/>
            <w:bottom w:w="0" w:type="dxa"/>
            <w:right w:w="108" w:type="dxa"/>
          </w:tblCellMar>
        </w:tblPrEx>
        <w:trPr>
          <w:cantSplit/>
          <w:trHeight w:val="499" w:hRule="atLeast"/>
        </w:trPr>
        <w:tc>
          <w:tcPr>
            <w:tcW w:w="1176" w:type="pct"/>
            <w:tcBorders>
              <w:top w:val="single" w:color="auto" w:sz="6" w:space="0"/>
              <w:left w:val="single" w:color="auto" w:sz="6" w:space="0"/>
              <w:bottom w:val="single" w:color="auto" w:sz="6" w:space="0"/>
              <w:right w:val="single" w:color="auto" w:sz="6" w:space="0"/>
            </w:tcBorders>
            <w:vAlign w:val="center"/>
          </w:tcPr>
          <w:p w14:paraId="0BE55D80">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所学专业</w:t>
            </w:r>
          </w:p>
        </w:tc>
        <w:tc>
          <w:tcPr>
            <w:tcW w:w="734" w:type="pct"/>
            <w:tcBorders>
              <w:top w:val="single" w:color="auto" w:sz="6" w:space="0"/>
              <w:left w:val="single" w:color="auto" w:sz="6" w:space="0"/>
              <w:bottom w:val="single" w:color="auto" w:sz="6" w:space="0"/>
              <w:right w:val="single" w:color="auto" w:sz="4" w:space="0"/>
            </w:tcBorders>
            <w:vAlign w:val="center"/>
          </w:tcPr>
          <w:p w14:paraId="589ED3E3">
            <w:pPr>
              <w:shd w:val="clear"/>
              <w:autoSpaceDE w:val="0"/>
              <w:autoSpaceDN w:val="0"/>
              <w:spacing w:line="360" w:lineRule="auto"/>
              <w:jc w:val="center"/>
              <w:rPr>
                <w:rFonts w:hint="eastAsia" w:ascii="宋体" w:hAnsi="宋体" w:cs="宋体"/>
                <w:color w:val="auto"/>
                <w:sz w:val="24"/>
                <w:highlight w:val="none"/>
              </w:rPr>
            </w:pPr>
          </w:p>
        </w:tc>
        <w:tc>
          <w:tcPr>
            <w:tcW w:w="719" w:type="pct"/>
            <w:tcBorders>
              <w:top w:val="single" w:color="auto" w:sz="6" w:space="0"/>
              <w:left w:val="single" w:color="auto" w:sz="4" w:space="0"/>
              <w:bottom w:val="single" w:color="auto" w:sz="6" w:space="0"/>
              <w:right w:val="single" w:color="auto" w:sz="6" w:space="0"/>
            </w:tcBorders>
            <w:vAlign w:val="center"/>
          </w:tcPr>
          <w:p w14:paraId="6C15B004">
            <w:pPr>
              <w:shd w:val="clear"/>
              <w:autoSpaceDE w:val="0"/>
              <w:autoSpaceDN w:val="0"/>
              <w:spacing w:line="360" w:lineRule="auto"/>
              <w:jc w:val="center"/>
              <w:rPr>
                <w:rFonts w:hint="eastAsia" w:ascii="宋体" w:hAnsi="宋体" w:cs="宋体"/>
                <w:color w:val="auto"/>
                <w:sz w:val="24"/>
                <w:highlight w:val="none"/>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42EBCD69">
            <w:pPr>
              <w:widowControl/>
              <w:shd w:val="clear"/>
              <w:jc w:val="left"/>
              <w:rPr>
                <w:rFonts w:hint="eastAsia" w:ascii="宋体" w:hAnsi="宋体" w:cs="宋体"/>
                <w:color w:val="auto"/>
                <w:sz w:val="24"/>
                <w:highlight w:val="none"/>
              </w:rPr>
            </w:pPr>
          </w:p>
        </w:tc>
      </w:tr>
      <w:tr w14:paraId="2942D3A1">
        <w:tblPrEx>
          <w:tblCellMar>
            <w:top w:w="0" w:type="dxa"/>
            <w:left w:w="108" w:type="dxa"/>
            <w:bottom w:w="0" w:type="dxa"/>
            <w:right w:w="108" w:type="dxa"/>
          </w:tblCellMar>
        </w:tblPrEx>
        <w:trPr>
          <w:cantSplit/>
          <w:trHeight w:val="499" w:hRule="atLeast"/>
        </w:trPr>
        <w:tc>
          <w:tcPr>
            <w:tcW w:w="1176" w:type="pct"/>
            <w:tcBorders>
              <w:top w:val="single" w:color="auto" w:sz="6" w:space="0"/>
              <w:left w:val="single" w:color="auto" w:sz="6" w:space="0"/>
              <w:bottom w:val="single" w:color="auto" w:sz="6" w:space="0"/>
              <w:right w:val="single" w:color="auto" w:sz="6" w:space="0"/>
            </w:tcBorders>
            <w:vAlign w:val="center"/>
          </w:tcPr>
          <w:p w14:paraId="0208BD29">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学历</w:t>
            </w:r>
          </w:p>
        </w:tc>
        <w:tc>
          <w:tcPr>
            <w:tcW w:w="734" w:type="pct"/>
            <w:tcBorders>
              <w:top w:val="single" w:color="auto" w:sz="6" w:space="0"/>
              <w:left w:val="single" w:color="auto" w:sz="6" w:space="0"/>
              <w:bottom w:val="single" w:color="auto" w:sz="6" w:space="0"/>
              <w:right w:val="single" w:color="auto" w:sz="4" w:space="0"/>
            </w:tcBorders>
            <w:vAlign w:val="center"/>
          </w:tcPr>
          <w:p w14:paraId="4DCF14A6">
            <w:pPr>
              <w:shd w:val="clear"/>
              <w:autoSpaceDE w:val="0"/>
              <w:autoSpaceDN w:val="0"/>
              <w:spacing w:line="360" w:lineRule="auto"/>
              <w:jc w:val="center"/>
              <w:rPr>
                <w:rFonts w:hint="eastAsia" w:ascii="宋体" w:hAnsi="宋体" w:cs="宋体"/>
                <w:color w:val="auto"/>
                <w:sz w:val="24"/>
                <w:highlight w:val="none"/>
              </w:rPr>
            </w:pPr>
          </w:p>
        </w:tc>
        <w:tc>
          <w:tcPr>
            <w:tcW w:w="719" w:type="pct"/>
            <w:tcBorders>
              <w:top w:val="single" w:color="auto" w:sz="6" w:space="0"/>
              <w:left w:val="single" w:color="auto" w:sz="4" w:space="0"/>
              <w:bottom w:val="single" w:color="auto" w:sz="6" w:space="0"/>
              <w:right w:val="single" w:color="auto" w:sz="6" w:space="0"/>
            </w:tcBorders>
            <w:vAlign w:val="center"/>
          </w:tcPr>
          <w:p w14:paraId="5694057E">
            <w:pPr>
              <w:shd w:val="clear"/>
              <w:autoSpaceDE w:val="0"/>
              <w:autoSpaceDN w:val="0"/>
              <w:spacing w:line="360" w:lineRule="auto"/>
              <w:jc w:val="center"/>
              <w:rPr>
                <w:rFonts w:hint="eastAsia" w:ascii="宋体" w:hAnsi="宋体" w:cs="宋体"/>
                <w:color w:val="auto"/>
                <w:sz w:val="24"/>
                <w:highlight w:val="none"/>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09B710A7">
            <w:pPr>
              <w:widowControl/>
              <w:shd w:val="clear"/>
              <w:jc w:val="left"/>
              <w:rPr>
                <w:rFonts w:hint="eastAsia" w:ascii="宋体" w:hAnsi="宋体" w:cs="宋体"/>
                <w:color w:val="auto"/>
                <w:sz w:val="24"/>
                <w:highlight w:val="none"/>
              </w:rPr>
            </w:pPr>
          </w:p>
        </w:tc>
      </w:tr>
      <w:tr w14:paraId="45878EAC">
        <w:tblPrEx>
          <w:tblCellMar>
            <w:top w:w="0" w:type="dxa"/>
            <w:left w:w="108" w:type="dxa"/>
            <w:bottom w:w="0" w:type="dxa"/>
            <w:right w:w="108" w:type="dxa"/>
          </w:tblCellMar>
        </w:tblPrEx>
        <w:trPr>
          <w:cantSplit/>
          <w:trHeight w:val="499" w:hRule="atLeast"/>
        </w:trPr>
        <w:tc>
          <w:tcPr>
            <w:tcW w:w="1176" w:type="pct"/>
            <w:tcBorders>
              <w:top w:val="single" w:color="auto" w:sz="6" w:space="0"/>
              <w:left w:val="single" w:color="auto" w:sz="6" w:space="0"/>
              <w:bottom w:val="single" w:color="auto" w:sz="6" w:space="0"/>
              <w:right w:val="single" w:color="auto" w:sz="6" w:space="0"/>
            </w:tcBorders>
            <w:vAlign w:val="center"/>
          </w:tcPr>
          <w:p w14:paraId="7EE237E2">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资质证书编号</w:t>
            </w:r>
          </w:p>
        </w:tc>
        <w:tc>
          <w:tcPr>
            <w:tcW w:w="734" w:type="pct"/>
            <w:tcBorders>
              <w:top w:val="single" w:color="auto" w:sz="6" w:space="0"/>
              <w:left w:val="single" w:color="auto" w:sz="6" w:space="0"/>
              <w:bottom w:val="single" w:color="auto" w:sz="6" w:space="0"/>
              <w:right w:val="single" w:color="auto" w:sz="4" w:space="0"/>
            </w:tcBorders>
            <w:vAlign w:val="center"/>
          </w:tcPr>
          <w:p w14:paraId="573959A9">
            <w:pPr>
              <w:shd w:val="clear"/>
              <w:autoSpaceDE w:val="0"/>
              <w:autoSpaceDN w:val="0"/>
              <w:spacing w:line="360" w:lineRule="auto"/>
              <w:jc w:val="center"/>
              <w:rPr>
                <w:rFonts w:hint="eastAsia" w:ascii="宋体" w:hAnsi="宋体" w:cs="宋体"/>
                <w:color w:val="auto"/>
                <w:sz w:val="24"/>
                <w:highlight w:val="none"/>
              </w:rPr>
            </w:pPr>
          </w:p>
        </w:tc>
        <w:tc>
          <w:tcPr>
            <w:tcW w:w="719" w:type="pct"/>
            <w:tcBorders>
              <w:top w:val="single" w:color="auto" w:sz="6" w:space="0"/>
              <w:left w:val="single" w:color="auto" w:sz="4" w:space="0"/>
              <w:bottom w:val="single" w:color="auto" w:sz="6" w:space="0"/>
              <w:right w:val="single" w:color="auto" w:sz="6" w:space="0"/>
            </w:tcBorders>
            <w:vAlign w:val="center"/>
          </w:tcPr>
          <w:p w14:paraId="0B6EAFA2">
            <w:pPr>
              <w:shd w:val="clear"/>
              <w:autoSpaceDE w:val="0"/>
              <w:autoSpaceDN w:val="0"/>
              <w:spacing w:line="360" w:lineRule="auto"/>
              <w:jc w:val="center"/>
              <w:rPr>
                <w:rFonts w:hint="eastAsia" w:ascii="宋体" w:hAnsi="宋体" w:cs="宋体"/>
                <w:color w:val="auto"/>
                <w:sz w:val="24"/>
                <w:highlight w:val="none"/>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3B98726F">
            <w:pPr>
              <w:widowControl/>
              <w:shd w:val="clear"/>
              <w:jc w:val="left"/>
              <w:rPr>
                <w:rFonts w:hint="eastAsia" w:ascii="宋体" w:hAnsi="宋体" w:cs="宋体"/>
                <w:color w:val="auto"/>
                <w:sz w:val="24"/>
                <w:highlight w:val="none"/>
              </w:rPr>
            </w:pPr>
          </w:p>
        </w:tc>
      </w:tr>
      <w:tr w14:paraId="728ECB97">
        <w:tblPrEx>
          <w:tblCellMar>
            <w:top w:w="0" w:type="dxa"/>
            <w:left w:w="108" w:type="dxa"/>
            <w:bottom w:w="0" w:type="dxa"/>
            <w:right w:w="108" w:type="dxa"/>
          </w:tblCellMar>
        </w:tblPrEx>
        <w:trPr>
          <w:cantSplit/>
          <w:trHeight w:val="499" w:hRule="atLeast"/>
        </w:trPr>
        <w:tc>
          <w:tcPr>
            <w:tcW w:w="1176" w:type="pct"/>
            <w:tcBorders>
              <w:top w:val="single" w:color="auto" w:sz="6" w:space="0"/>
              <w:left w:val="single" w:color="auto" w:sz="6" w:space="0"/>
              <w:bottom w:val="single" w:color="auto" w:sz="6" w:space="0"/>
              <w:right w:val="single" w:color="auto" w:sz="6" w:space="0"/>
            </w:tcBorders>
            <w:vAlign w:val="center"/>
          </w:tcPr>
          <w:p w14:paraId="66D8B1CD">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其他资质情况</w:t>
            </w:r>
          </w:p>
        </w:tc>
        <w:tc>
          <w:tcPr>
            <w:tcW w:w="734" w:type="pct"/>
            <w:tcBorders>
              <w:top w:val="single" w:color="auto" w:sz="6" w:space="0"/>
              <w:left w:val="single" w:color="auto" w:sz="6" w:space="0"/>
              <w:bottom w:val="single" w:color="auto" w:sz="6" w:space="0"/>
              <w:right w:val="single" w:color="auto" w:sz="4" w:space="0"/>
            </w:tcBorders>
            <w:vAlign w:val="center"/>
          </w:tcPr>
          <w:p w14:paraId="237912A9">
            <w:pPr>
              <w:shd w:val="clear"/>
              <w:autoSpaceDE w:val="0"/>
              <w:autoSpaceDN w:val="0"/>
              <w:spacing w:line="360" w:lineRule="auto"/>
              <w:jc w:val="center"/>
              <w:rPr>
                <w:rFonts w:hint="eastAsia" w:ascii="宋体" w:hAnsi="宋体" w:cs="宋体"/>
                <w:color w:val="auto"/>
                <w:sz w:val="24"/>
                <w:highlight w:val="none"/>
              </w:rPr>
            </w:pPr>
          </w:p>
        </w:tc>
        <w:tc>
          <w:tcPr>
            <w:tcW w:w="719" w:type="pct"/>
            <w:tcBorders>
              <w:top w:val="single" w:color="auto" w:sz="6" w:space="0"/>
              <w:left w:val="single" w:color="auto" w:sz="4" w:space="0"/>
              <w:bottom w:val="single" w:color="auto" w:sz="6" w:space="0"/>
              <w:right w:val="single" w:color="auto" w:sz="6" w:space="0"/>
            </w:tcBorders>
            <w:vAlign w:val="center"/>
          </w:tcPr>
          <w:p w14:paraId="6C388C4A">
            <w:pPr>
              <w:shd w:val="clear"/>
              <w:autoSpaceDE w:val="0"/>
              <w:autoSpaceDN w:val="0"/>
              <w:spacing w:line="360" w:lineRule="auto"/>
              <w:jc w:val="center"/>
              <w:rPr>
                <w:rFonts w:hint="eastAsia" w:ascii="宋体" w:hAnsi="宋体" w:cs="宋体"/>
                <w:color w:val="auto"/>
                <w:sz w:val="24"/>
                <w:highlight w:val="none"/>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643D92B4">
            <w:pPr>
              <w:widowControl/>
              <w:shd w:val="clear"/>
              <w:jc w:val="left"/>
              <w:rPr>
                <w:rFonts w:hint="eastAsia" w:ascii="宋体" w:hAnsi="宋体" w:cs="宋体"/>
                <w:color w:val="auto"/>
                <w:sz w:val="24"/>
                <w:highlight w:val="none"/>
              </w:rPr>
            </w:pPr>
          </w:p>
        </w:tc>
      </w:tr>
      <w:tr w14:paraId="0F53332D">
        <w:tblPrEx>
          <w:tblCellMar>
            <w:top w:w="0" w:type="dxa"/>
            <w:left w:w="108" w:type="dxa"/>
            <w:bottom w:w="0" w:type="dxa"/>
            <w:right w:w="108" w:type="dxa"/>
          </w:tblCellMar>
        </w:tblPrEx>
        <w:trPr>
          <w:cantSplit/>
          <w:trHeight w:val="514" w:hRule="atLeast"/>
        </w:trPr>
        <w:tc>
          <w:tcPr>
            <w:tcW w:w="1176" w:type="pct"/>
            <w:tcBorders>
              <w:top w:val="single" w:color="auto" w:sz="6" w:space="0"/>
              <w:left w:val="single" w:color="auto" w:sz="6" w:space="0"/>
              <w:bottom w:val="single" w:color="auto" w:sz="6" w:space="0"/>
              <w:right w:val="single" w:color="auto" w:sz="6" w:space="0"/>
            </w:tcBorders>
            <w:vAlign w:val="center"/>
          </w:tcPr>
          <w:p w14:paraId="76EC3C8D">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联系电话</w:t>
            </w:r>
          </w:p>
        </w:tc>
        <w:tc>
          <w:tcPr>
            <w:tcW w:w="734" w:type="pct"/>
            <w:tcBorders>
              <w:top w:val="single" w:color="auto" w:sz="6" w:space="0"/>
              <w:left w:val="single" w:color="auto" w:sz="6" w:space="0"/>
              <w:bottom w:val="single" w:color="auto" w:sz="6" w:space="0"/>
              <w:right w:val="single" w:color="auto" w:sz="4" w:space="0"/>
            </w:tcBorders>
            <w:vAlign w:val="center"/>
          </w:tcPr>
          <w:p w14:paraId="6AFA2050">
            <w:pPr>
              <w:shd w:val="clear"/>
              <w:autoSpaceDE w:val="0"/>
              <w:autoSpaceDN w:val="0"/>
              <w:spacing w:line="360" w:lineRule="auto"/>
              <w:jc w:val="center"/>
              <w:rPr>
                <w:rFonts w:hint="eastAsia" w:ascii="宋体" w:hAnsi="宋体" w:cs="宋体"/>
                <w:color w:val="auto"/>
                <w:sz w:val="24"/>
                <w:highlight w:val="none"/>
              </w:rPr>
            </w:pPr>
          </w:p>
        </w:tc>
        <w:tc>
          <w:tcPr>
            <w:tcW w:w="719" w:type="pct"/>
            <w:tcBorders>
              <w:top w:val="single" w:color="auto" w:sz="6" w:space="0"/>
              <w:left w:val="single" w:color="auto" w:sz="4" w:space="0"/>
              <w:bottom w:val="single" w:color="auto" w:sz="6" w:space="0"/>
              <w:right w:val="single" w:color="auto" w:sz="6" w:space="0"/>
            </w:tcBorders>
            <w:vAlign w:val="center"/>
          </w:tcPr>
          <w:p w14:paraId="41F5733A">
            <w:pPr>
              <w:shd w:val="clear"/>
              <w:autoSpaceDE w:val="0"/>
              <w:autoSpaceDN w:val="0"/>
              <w:spacing w:line="360" w:lineRule="auto"/>
              <w:jc w:val="center"/>
              <w:rPr>
                <w:rFonts w:hint="eastAsia" w:ascii="宋体" w:hAnsi="宋体" w:cs="宋体"/>
                <w:color w:val="auto"/>
                <w:sz w:val="24"/>
                <w:highlight w:val="none"/>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5D8198E2">
            <w:pPr>
              <w:widowControl/>
              <w:shd w:val="clear"/>
              <w:jc w:val="left"/>
              <w:rPr>
                <w:rFonts w:hint="eastAsia" w:ascii="宋体" w:hAnsi="宋体" w:cs="宋体"/>
                <w:color w:val="auto"/>
                <w:sz w:val="24"/>
                <w:highlight w:val="none"/>
              </w:rPr>
            </w:pPr>
          </w:p>
        </w:tc>
      </w:tr>
    </w:tbl>
    <w:p w14:paraId="40174840">
      <w:pPr>
        <w:shd w:val="clear"/>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注：须随表提交相应的证书复印件并注明所在投标技术文件页码。</w:t>
      </w:r>
    </w:p>
    <w:p w14:paraId="5A6B8B59">
      <w:pPr>
        <w:shd w:val="clear"/>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附表B：本项目的项目小组人员情况表</w:t>
      </w:r>
      <w:r>
        <w:rPr>
          <w:rFonts w:hint="eastAsia" w:ascii="宋体" w:hAnsi="宋体" w:cs="宋体"/>
          <w:color w:val="auto"/>
          <w:sz w:val="24"/>
          <w:highlight w:val="none"/>
        </w:rPr>
        <w:t>（按此格式自制）</w:t>
      </w:r>
    </w:p>
    <w:tbl>
      <w:tblPr>
        <w:tblStyle w:val="48"/>
        <w:tblW w:w="4996" w:type="pct"/>
        <w:tblInd w:w="0" w:type="dxa"/>
        <w:tblLayout w:type="autofit"/>
        <w:tblCellMar>
          <w:top w:w="0" w:type="dxa"/>
          <w:left w:w="108" w:type="dxa"/>
          <w:bottom w:w="0" w:type="dxa"/>
          <w:right w:w="108" w:type="dxa"/>
        </w:tblCellMar>
      </w:tblPr>
      <w:tblGrid>
        <w:gridCol w:w="456"/>
        <w:gridCol w:w="726"/>
        <w:gridCol w:w="456"/>
        <w:gridCol w:w="537"/>
        <w:gridCol w:w="962"/>
        <w:gridCol w:w="1002"/>
        <w:gridCol w:w="1002"/>
        <w:gridCol w:w="1173"/>
        <w:gridCol w:w="834"/>
        <w:gridCol w:w="1373"/>
      </w:tblGrid>
      <w:tr w14:paraId="1032CCFA">
        <w:tblPrEx>
          <w:tblCellMar>
            <w:top w:w="0" w:type="dxa"/>
            <w:left w:w="108" w:type="dxa"/>
            <w:bottom w:w="0" w:type="dxa"/>
            <w:right w:w="108" w:type="dxa"/>
          </w:tblCellMar>
        </w:tblPrEx>
        <w:tc>
          <w:tcPr>
            <w:tcW w:w="232" w:type="pct"/>
            <w:tcBorders>
              <w:top w:val="single" w:color="auto" w:sz="6" w:space="0"/>
              <w:left w:val="single" w:color="auto" w:sz="6" w:space="0"/>
              <w:bottom w:val="single" w:color="auto" w:sz="6" w:space="0"/>
              <w:right w:val="single" w:color="auto" w:sz="6" w:space="0"/>
            </w:tcBorders>
            <w:vAlign w:val="center"/>
          </w:tcPr>
          <w:p w14:paraId="73741FD0">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435" w:type="pct"/>
            <w:tcBorders>
              <w:top w:val="single" w:color="auto" w:sz="6" w:space="0"/>
              <w:left w:val="single" w:color="auto" w:sz="6" w:space="0"/>
              <w:bottom w:val="single" w:color="auto" w:sz="6" w:space="0"/>
              <w:right w:val="single" w:color="auto" w:sz="6" w:space="0"/>
            </w:tcBorders>
            <w:vAlign w:val="center"/>
          </w:tcPr>
          <w:p w14:paraId="06017B36">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228" w:type="pct"/>
            <w:tcBorders>
              <w:top w:val="single" w:color="auto" w:sz="6" w:space="0"/>
              <w:left w:val="single" w:color="auto" w:sz="6" w:space="0"/>
              <w:bottom w:val="single" w:color="auto" w:sz="6" w:space="0"/>
              <w:right w:val="single" w:color="auto" w:sz="6" w:space="0"/>
            </w:tcBorders>
            <w:vAlign w:val="center"/>
          </w:tcPr>
          <w:p w14:paraId="25BB17FA">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324" w:type="pct"/>
            <w:tcBorders>
              <w:top w:val="single" w:color="auto" w:sz="6" w:space="0"/>
              <w:left w:val="single" w:color="auto" w:sz="6" w:space="0"/>
              <w:bottom w:val="single" w:color="auto" w:sz="6" w:space="0"/>
              <w:right w:val="single" w:color="auto" w:sz="6" w:space="0"/>
            </w:tcBorders>
            <w:vAlign w:val="center"/>
          </w:tcPr>
          <w:p w14:paraId="58CA1111">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年龄</w:t>
            </w:r>
          </w:p>
        </w:tc>
        <w:tc>
          <w:tcPr>
            <w:tcW w:w="573" w:type="pct"/>
            <w:tcBorders>
              <w:top w:val="single" w:color="auto" w:sz="6" w:space="0"/>
              <w:left w:val="single" w:color="auto" w:sz="6" w:space="0"/>
              <w:bottom w:val="single" w:color="auto" w:sz="6" w:space="0"/>
              <w:right w:val="single" w:color="auto" w:sz="6" w:space="0"/>
            </w:tcBorders>
            <w:vAlign w:val="center"/>
          </w:tcPr>
          <w:p w14:paraId="6845EAB8">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学历</w:t>
            </w:r>
          </w:p>
          <w:p w14:paraId="582F7EB7">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597" w:type="pct"/>
            <w:tcBorders>
              <w:top w:val="single" w:color="auto" w:sz="6" w:space="0"/>
              <w:left w:val="single" w:color="auto" w:sz="6" w:space="0"/>
              <w:bottom w:val="single" w:color="auto" w:sz="6" w:space="0"/>
              <w:right w:val="single" w:color="auto" w:sz="6" w:space="0"/>
            </w:tcBorders>
            <w:vAlign w:val="center"/>
          </w:tcPr>
          <w:p w14:paraId="3F0925A3">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专业</w:t>
            </w:r>
          </w:p>
          <w:p w14:paraId="3E5937F0">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597" w:type="pct"/>
            <w:tcBorders>
              <w:top w:val="single" w:color="auto" w:sz="6" w:space="0"/>
              <w:left w:val="single" w:color="auto" w:sz="6" w:space="0"/>
              <w:bottom w:val="single" w:color="auto" w:sz="6" w:space="0"/>
              <w:right w:val="single" w:color="auto" w:sz="6" w:space="0"/>
            </w:tcBorders>
            <w:vAlign w:val="center"/>
          </w:tcPr>
          <w:p w14:paraId="3E5AB733">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职称</w:t>
            </w:r>
          </w:p>
          <w:p w14:paraId="0D7D75BB">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697" w:type="pct"/>
            <w:tcBorders>
              <w:top w:val="single" w:color="auto" w:sz="6" w:space="0"/>
              <w:left w:val="single" w:color="auto" w:sz="6" w:space="0"/>
              <w:bottom w:val="single" w:color="auto" w:sz="6" w:space="0"/>
              <w:right w:val="single" w:color="auto" w:sz="6" w:space="0"/>
            </w:tcBorders>
            <w:vAlign w:val="center"/>
          </w:tcPr>
          <w:p w14:paraId="070D6873">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本项目中的职责</w:t>
            </w:r>
          </w:p>
        </w:tc>
        <w:tc>
          <w:tcPr>
            <w:tcW w:w="498" w:type="pct"/>
            <w:tcBorders>
              <w:top w:val="single" w:color="auto" w:sz="6" w:space="0"/>
              <w:left w:val="single" w:color="auto" w:sz="6" w:space="0"/>
              <w:bottom w:val="single" w:color="auto" w:sz="6" w:space="0"/>
              <w:right w:val="single" w:color="auto" w:sz="6" w:space="0"/>
            </w:tcBorders>
            <w:vAlign w:val="center"/>
          </w:tcPr>
          <w:p w14:paraId="11F816B6">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证书</w:t>
            </w:r>
          </w:p>
        </w:tc>
        <w:tc>
          <w:tcPr>
            <w:tcW w:w="814" w:type="pct"/>
            <w:tcBorders>
              <w:top w:val="single" w:color="auto" w:sz="6" w:space="0"/>
              <w:left w:val="single" w:color="auto" w:sz="6" w:space="0"/>
              <w:bottom w:val="single" w:color="auto" w:sz="6" w:space="0"/>
              <w:right w:val="single" w:color="auto" w:sz="6" w:space="0"/>
            </w:tcBorders>
            <w:vAlign w:val="center"/>
          </w:tcPr>
          <w:p w14:paraId="561574A4">
            <w:pPr>
              <w:shd w:val="clea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参与本项目的到位情况</w:t>
            </w:r>
          </w:p>
        </w:tc>
      </w:tr>
      <w:tr w14:paraId="1CEA82C4">
        <w:tblPrEx>
          <w:tblCellMar>
            <w:top w:w="0" w:type="dxa"/>
            <w:left w:w="108" w:type="dxa"/>
            <w:bottom w:w="0" w:type="dxa"/>
            <w:right w:w="108" w:type="dxa"/>
          </w:tblCellMar>
        </w:tblPrEx>
        <w:trPr>
          <w:trHeight w:val="479" w:hRule="atLeast"/>
        </w:trPr>
        <w:tc>
          <w:tcPr>
            <w:tcW w:w="232" w:type="pct"/>
            <w:tcBorders>
              <w:top w:val="single" w:color="auto" w:sz="6" w:space="0"/>
              <w:left w:val="single" w:color="auto" w:sz="6" w:space="0"/>
              <w:bottom w:val="single" w:color="auto" w:sz="6" w:space="0"/>
              <w:right w:val="single" w:color="auto" w:sz="6" w:space="0"/>
            </w:tcBorders>
          </w:tcPr>
          <w:p w14:paraId="39488E63">
            <w:pPr>
              <w:shd w:val="clear"/>
              <w:autoSpaceDE w:val="0"/>
              <w:autoSpaceDN w:val="0"/>
              <w:spacing w:line="360" w:lineRule="auto"/>
              <w:jc w:val="center"/>
              <w:rPr>
                <w:rFonts w:hint="eastAsia" w:ascii="宋体" w:hAnsi="宋体" w:cs="宋体"/>
                <w:color w:val="auto"/>
                <w:sz w:val="24"/>
                <w:highlight w:val="none"/>
              </w:rPr>
            </w:pPr>
          </w:p>
        </w:tc>
        <w:tc>
          <w:tcPr>
            <w:tcW w:w="435" w:type="pct"/>
            <w:tcBorders>
              <w:top w:val="single" w:color="auto" w:sz="6" w:space="0"/>
              <w:left w:val="single" w:color="auto" w:sz="6" w:space="0"/>
              <w:bottom w:val="single" w:color="auto" w:sz="6" w:space="0"/>
              <w:right w:val="single" w:color="auto" w:sz="6" w:space="0"/>
            </w:tcBorders>
          </w:tcPr>
          <w:p w14:paraId="4F826C2E">
            <w:pPr>
              <w:shd w:val="clear"/>
              <w:autoSpaceDE w:val="0"/>
              <w:autoSpaceDN w:val="0"/>
              <w:spacing w:line="360" w:lineRule="auto"/>
              <w:rPr>
                <w:rFonts w:hint="eastAsia" w:ascii="宋体" w:hAnsi="宋体" w:cs="宋体"/>
                <w:color w:val="auto"/>
                <w:sz w:val="24"/>
                <w:highlight w:val="none"/>
              </w:rPr>
            </w:pPr>
          </w:p>
        </w:tc>
        <w:tc>
          <w:tcPr>
            <w:tcW w:w="228" w:type="pct"/>
            <w:tcBorders>
              <w:top w:val="single" w:color="auto" w:sz="6" w:space="0"/>
              <w:left w:val="single" w:color="auto" w:sz="6" w:space="0"/>
              <w:bottom w:val="single" w:color="auto" w:sz="6" w:space="0"/>
              <w:right w:val="single" w:color="auto" w:sz="6" w:space="0"/>
            </w:tcBorders>
          </w:tcPr>
          <w:p w14:paraId="70353E0F">
            <w:pPr>
              <w:shd w:val="clear"/>
              <w:autoSpaceDE w:val="0"/>
              <w:autoSpaceDN w:val="0"/>
              <w:spacing w:line="360" w:lineRule="auto"/>
              <w:rPr>
                <w:rFonts w:hint="eastAsia" w:ascii="宋体" w:hAnsi="宋体" w:cs="宋体"/>
                <w:color w:val="auto"/>
                <w:sz w:val="24"/>
                <w:highlight w:val="none"/>
              </w:rPr>
            </w:pPr>
          </w:p>
        </w:tc>
        <w:tc>
          <w:tcPr>
            <w:tcW w:w="324" w:type="pct"/>
            <w:tcBorders>
              <w:top w:val="single" w:color="auto" w:sz="6" w:space="0"/>
              <w:left w:val="single" w:color="auto" w:sz="6" w:space="0"/>
              <w:bottom w:val="single" w:color="auto" w:sz="6" w:space="0"/>
              <w:right w:val="single" w:color="auto" w:sz="6" w:space="0"/>
            </w:tcBorders>
          </w:tcPr>
          <w:p w14:paraId="1178F9C4">
            <w:pPr>
              <w:shd w:val="clear"/>
              <w:autoSpaceDE w:val="0"/>
              <w:autoSpaceDN w:val="0"/>
              <w:spacing w:line="360" w:lineRule="auto"/>
              <w:rPr>
                <w:rFonts w:hint="eastAsia" w:ascii="宋体" w:hAnsi="宋体" w:cs="宋体"/>
                <w:color w:val="auto"/>
                <w:sz w:val="24"/>
                <w:highlight w:val="none"/>
              </w:rPr>
            </w:pPr>
          </w:p>
        </w:tc>
        <w:tc>
          <w:tcPr>
            <w:tcW w:w="573" w:type="pct"/>
            <w:tcBorders>
              <w:top w:val="single" w:color="auto" w:sz="6" w:space="0"/>
              <w:left w:val="single" w:color="auto" w:sz="6" w:space="0"/>
              <w:bottom w:val="single" w:color="auto" w:sz="6" w:space="0"/>
              <w:right w:val="single" w:color="auto" w:sz="6" w:space="0"/>
            </w:tcBorders>
          </w:tcPr>
          <w:p w14:paraId="06E6E872">
            <w:pPr>
              <w:shd w:val="clear"/>
              <w:autoSpaceDE w:val="0"/>
              <w:autoSpaceDN w:val="0"/>
              <w:spacing w:line="360" w:lineRule="auto"/>
              <w:rPr>
                <w:rFonts w:hint="eastAsia" w:ascii="宋体" w:hAnsi="宋体" w:cs="宋体"/>
                <w:color w:val="auto"/>
                <w:sz w:val="24"/>
                <w:highlight w:val="none"/>
              </w:rPr>
            </w:pPr>
          </w:p>
        </w:tc>
        <w:tc>
          <w:tcPr>
            <w:tcW w:w="597" w:type="pct"/>
            <w:tcBorders>
              <w:top w:val="single" w:color="auto" w:sz="6" w:space="0"/>
              <w:left w:val="single" w:color="auto" w:sz="6" w:space="0"/>
              <w:bottom w:val="single" w:color="auto" w:sz="6" w:space="0"/>
              <w:right w:val="single" w:color="auto" w:sz="6" w:space="0"/>
            </w:tcBorders>
          </w:tcPr>
          <w:p w14:paraId="07E8D1E4">
            <w:pPr>
              <w:shd w:val="clear"/>
              <w:autoSpaceDE w:val="0"/>
              <w:autoSpaceDN w:val="0"/>
              <w:spacing w:line="360" w:lineRule="auto"/>
              <w:rPr>
                <w:rFonts w:hint="eastAsia" w:ascii="宋体" w:hAnsi="宋体" w:cs="宋体"/>
                <w:color w:val="auto"/>
                <w:sz w:val="24"/>
                <w:highlight w:val="none"/>
              </w:rPr>
            </w:pPr>
          </w:p>
        </w:tc>
        <w:tc>
          <w:tcPr>
            <w:tcW w:w="597" w:type="pct"/>
            <w:tcBorders>
              <w:top w:val="single" w:color="auto" w:sz="6" w:space="0"/>
              <w:left w:val="single" w:color="auto" w:sz="6" w:space="0"/>
              <w:bottom w:val="single" w:color="auto" w:sz="6" w:space="0"/>
              <w:right w:val="single" w:color="auto" w:sz="6" w:space="0"/>
            </w:tcBorders>
          </w:tcPr>
          <w:p w14:paraId="51DCE2BA">
            <w:pPr>
              <w:shd w:val="clear"/>
              <w:autoSpaceDE w:val="0"/>
              <w:autoSpaceDN w:val="0"/>
              <w:spacing w:line="360" w:lineRule="auto"/>
              <w:rPr>
                <w:rFonts w:hint="eastAsia" w:ascii="宋体" w:hAnsi="宋体" w:cs="宋体"/>
                <w:color w:val="auto"/>
                <w:sz w:val="24"/>
                <w:highlight w:val="none"/>
              </w:rPr>
            </w:pPr>
          </w:p>
        </w:tc>
        <w:tc>
          <w:tcPr>
            <w:tcW w:w="697" w:type="pct"/>
            <w:tcBorders>
              <w:top w:val="single" w:color="auto" w:sz="6" w:space="0"/>
              <w:left w:val="single" w:color="auto" w:sz="6" w:space="0"/>
              <w:bottom w:val="single" w:color="auto" w:sz="6" w:space="0"/>
              <w:right w:val="single" w:color="auto" w:sz="6" w:space="0"/>
            </w:tcBorders>
          </w:tcPr>
          <w:p w14:paraId="505C01F2">
            <w:pPr>
              <w:shd w:val="clear"/>
              <w:autoSpaceDE w:val="0"/>
              <w:autoSpaceDN w:val="0"/>
              <w:spacing w:line="360" w:lineRule="auto"/>
              <w:rPr>
                <w:rFonts w:hint="eastAsia" w:ascii="宋体" w:hAnsi="宋体" w:cs="宋体"/>
                <w:color w:val="auto"/>
                <w:sz w:val="24"/>
                <w:highlight w:val="none"/>
              </w:rPr>
            </w:pPr>
          </w:p>
        </w:tc>
        <w:tc>
          <w:tcPr>
            <w:tcW w:w="498" w:type="pct"/>
            <w:tcBorders>
              <w:top w:val="single" w:color="auto" w:sz="6" w:space="0"/>
              <w:left w:val="single" w:color="auto" w:sz="6" w:space="0"/>
              <w:bottom w:val="single" w:color="auto" w:sz="6" w:space="0"/>
              <w:right w:val="single" w:color="auto" w:sz="6" w:space="0"/>
            </w:tcBorders>
          </w:tcPr>
          <w:p w14:paraId="112469D8">
            <w:pPr>
              <w:shd w:val="clear"/>
              <w:autoSpaceDE w:val="0"/>
              <w:autoSpaceDN w:val="0"/>
              <w:spacing w:line="360" w:lineRule="auto"/>
              <w:rPr>
                <w:rFonts w:hint="eastAsia" w:ascii="宋体" w:hAnsi="宋体" w:cs="宋体"/>
                <w:color w:val="auto"/>
                <w:sz w:val="24"/>
                <w:highlight w:val="none"/>
              </w:rPr>
            </w:pPr>
          </w:p>
        </w:tc>
        <w:tc>
          <w:tcPr>
            <w:tcW w:w="814" w:type="pct"/>
            <w:tcBorders>
              <w:top w:val="single" w:color="auto" w:sz="6" w:space="0"/>
              <w:left w:val="single" w:color="auto" w:sz="6" w:space="0"/>
              <w:bottom w:val="single" w:color="auto" w:sz="6" w:space="0"/>
              <w:right w:val="single" w:color="auto" w:sz="6" w:space="0"/>
            </w:tcBorders>
          </w:tcPr>
          <w:p w14:paraId="10EAC936">
            <w:pPr>
              <w:shd w:val="clear"/>
              <w:autoSpaceDE w:val="0"/>
              <w:autoSpaceDN w:val="0"/>
              <w:spacing w:line="360" w:lineRule="auto"/>
              <w:rPr>
                <w:rFonts w:hint="eastAsia" w:ascii="宋体" w:hAnsi="宋体" w:cs="宋体"/>
                <w:color w:val="auto"/>
                <w:sz w:val="24"/>
                <w:highlight w:val="none"/>
              </w:rPr>
            </w:pPr>
          </w:p>
        </w:tc>
      </w:tr>
      <w:tr w14:paraId="0D989940">
        <w:tblPrEx>
          <w:tblCellMar>
            <w:top w:w="0" w:type="dxa"/>
            <w:left w:w="108" w:type="dxa"/>
            <w:bottom w:w="0" w:type="dxa"/>
            <w:right w:w="108" w:type="dxa"/>
          </w:tblCellMar>
        </w:tblPrEx>
        <w:trPr>
          <w:trHeight w:val="473" w:hRule="atLeast"/>
        </w:trPr>
        <w:tc>
          <w:tcPr>
            <w:tcW w:w="232" w:type="pct"/>
            <w:tcBorders>
              <w:top w:val="single" w:color="auto" w:sz="6" w:space="0"/>
              <w:left w:val="single" w:color="auto" w:sz="6" w:space="0"/>
              <w:bottom w:val="single" w:color="auto" w:sz="6" w:space="0"/>
              <w:right w:val="single" w:color="auto" w:sz="6" w:space="0"/>
            </w:tcBorders>
          </w:tcPr>
          <w:p w14:paraId="633388B6">
            <w:pPr>
              <w:shd w:val="clear"/>
              <w:autoSpaceDE w:val="0"/>
              <w:autoSpaceDN w:val="0"/>
              <w:spacing w:line="360" w:lineRule="auto"/>
              <w:jc w:val="center"/>
              <w:rPr>
                <w:rFonts w:hint="eastAsia" w:ascii="宋体" w:hAnsi="宋体" w:cs="宋体"/>
                <w:color w:val="auto"/>
                <w:sz w:val="24"/>
                <w:highlight w:val="none"/>
              </w:rPr>
            </w:pPr>
          </w:p>
        </w:tc>
        <w:tc>
          <w:tcPr>
            <w:tcW w:w="435" w:type="pct"/>
            <w:tcBorders>
              <w:top w:val="single" w:color="auto" w:sz="6" w:space="0"/>
              <w:left w:val="single" w:color="auto" w:sz="6" w:space="0"/>
              <w:bottom w:val="single" w:color="auto" w:sz="6" w:space="0"/>
              <w:right w:val="single" w:color="auto" w:sz="6" w:space="0"/>
            </w:tcBorders>
          </w:tcPr>
          <w:p w14:paraId="51347C25">
            <w:pPr>
              <w:shd w:val="clear"/>
              <w:autoSpaceDE w:val="0"/>
              <w:autoSpaceDN w:val="0"/>
              <w:spacing w:line="360" w:lineRule="auto"/>
              <w:rPr>
                <w:rFonts w:hint="eastAsia" w:ascii="宋体" w:hAnsi="宋体" w:cs="宋体"/>
                <w:color w:val="auto"/>
                <w:sz w:val="24"/>
                <w:highlight w:val="none"/>
              </w:rPr>
            </w:pPr>
          </w:p>
        </w:tc>
        <w:tc>
          <w:tcPr>
            <w:tcW w:w="228" w:type="pct"/>
            <w:tcBorders>
              <w:top w:val="single" w:color="auto" w:sz="6" w:space="0"/>
              <w:left w:val="single" w:color="auto" w:sz="6" w:space="0"/>
              <w:bottom w:val="single" w:color="auto" w:sz="6" w:space="0"/>
              <w:right w:val="single" w:color="auto" w:sz="6" w:space="0"/>
            </w:tcBorders>
          </w:tcPr>
          <w:p w14:paraId="1DBF1838">
            <w:pPr>
              <w:shd w:val="clear"/>
              <w:autoSpaceDE w:val="0"/>
              <w:autoSpaceDN w:val="0"/>
              <w:spacing w:line="360" w:lineRule="auto"/>
              <w:rPr>
                <w:rFonts w:hint="eastAsia" w:ascii="宋体" w:hAnsi="宋体" w:cs="宋体"/>
                <w:color w:val="auto"/>
                <w:sz w:val="24"/>
                <w:highlight w:val="none"/>
              </w:rPr>
            </w:pPr>
          </w:p>
        </w:tc>
        <w:tc>
          <w:tcPr>
            <w:tcW w:w="324" w:type="pct"/>
            <w:tcBorders>
              <w:top w:val="single" w:color="auto" w:sz="6" w:space="0"/>
              <w:left w:val="single" w:color="auto" w:sz="6" w:space="0"/>
              <w:bottom w:val="single" w:color="auto" w:sz="6" w:space="0"/>
              <w:right w:val="single" w:color="auto" w:sz="6" w:space="0"/>
            </w:tcBorders>
          </w:tcPr>
          <w:p w14:paraId="474747F1">
            <w:pPr>
              <w:shd w:val="clear"/>
              <w:autoSpaceDE w:val="0"/>
              <w:autoSpaceDN w:val="0"/>
              <w:spacing w:line="360" w:lineRule="auto"/>
              <w:rPr>
                <w:rFonts w:hint="eastAsia" w:ascii="宋体" w:hAnsi="宋体" w:cs="宋体"/>
                <w:color w:val="auto"/>
                <w:sz w:val="24"/>
                <w:highlight w:val="none"/>
              </w:rPr>
            </w:pPr>
          </w:p>
        </w:tc>
        <w:tc>
          <w:tcPr>
            <w:tcW w:w="573" w:type="pct"/>
            <w:tcBorders>
              <w:top w:val="single" w:color="auto" w:sz="6" w:space="0"/>
              <w:left w:val="single" w:color="auto" w:sz="6" w:space="0"/>
              <w:bottom w:val="single" w:color="auto" w:sz="6" w:space="0"/>
              <w:right w:val="single" w:color="auto" w:sz="6" w:space="0"/>
            </w:tcBorders>
          </w:tcPr>
          <w:p w14:paraId="0EDC68B1">
            <w:pPr>
              <w:shd w:val="clear"/>
              <w:autoSpaceDE w:val="0"/>
              <w:autoSpaceDN w:val="0"/>
              <w:spacing w:line="360" w:lineRule="auto"/>
              <w:rPr>
                <w:rFonts w:hint="eastAsia" w:ascii="宋体" w:hAnsi="宋体" w:cs="宋体"/>
                <w:color w:val="auto"/>
                <w:sz w:val="24"/>
                <w:highlight w:val="none"/>
              </w:rPr>
            </w:pPr>
          </w:p>
        </w:tc>
        <w:tc>
          <w:tcPr>
            <w:tcW w:w="597" w:type="pct"/>
            <w:tcBorders>
              <w:top w:val="single" w:color="auto" w:sz="6" w:space="0"/>
              <w:left w:val="single" w:color="auto" w:sz="6" w:space="0"/>
              <w:bottom w:val="single" w:color="auto" w:sz="6" w:space="0"/>
              <w:right w:val="single" w:color="auto" w:sz="6" w:space="0"/>
            </w:tcBorders>
          </w:tcPr>
          <w:p w14:paraId="718A3A58">
            <w:pPr>
              <w:shd w:val="clear"/>
              <w:autoSpaceDE w:val="0"/>
              <w:autoSpaceDN w:val="0"/>
              <w:spacing w:line="360" w:lineRule="auto"/>
              <w:rPr>
                <w:rFonts w:hint="eastAsia" w:ascii="宋体" w:hAnsi="宋体" w:cs="宋体"/>
                <w:color w:val="auto"/>
                <w:sz w:val="24"/>
                <w:highlight w:val="none"/>
              </w:rPr>
            </w:pPr>
          </w:p>
        </w:tc>
        <w:tc>
          <w:tcPr>
            <w:tcW w:w="597" w:type="pct"/>
            <w:tcBorders>
              <w:top w:val="single" w:color="auto" w:sz="6" w:space="0"/>
              <w:left w:val="single" w:color="auto" w:sz="6" w:space="0"/>
              <w:bottom w:val="single" w:color="auto" w:sz="6" w:space="0"/>
              <w:right w:val="single" w:color="auto" w:sz="6" w:space="0"/>
            </w:tcBorders>
          </w:tcPr>
          <w:p w14:paraId="386C099C">
            <w:pPr>
              <w:shd w:val="clear"/>
              <w:autoSpaceDE w:val="0"/>
              <w:autoSpaceDN w:val="0"/>
              <w:spacing w:line="360" w:lineRule="auto"/>
              <w:rPr>
                <w:rFonts w:hint="eastAsia" w:ascii="宋体" w:hAnsi="宋体" w:cs="宋体"/>
                <w:color w:val="auto"/>
                <w:sz w:val="24"/>
                <w:highlight w:val="none"/>
              </w:rPr>
            </w:pPr>
          </w:p>
        </w:tc>
        <w:tc>
          <w:tcPr>
            <w:tcW w:w="697" w:type="pct"/>
            <w:tcBorders>
              <w:top w:val="single" w:color="auto" w:sz="6" w:space="0"/>
              <w:left w:val="single" w:color="auto" w:sz="6" w:space="0"/>
              <w:bottom w:val="single" w:color="auto" w:sz="6" w:space="0"/>
              <w:right w:val="single" w:color="auto" w:sz="6" w:space="0"/>
            </w:tcBorders>
          </w:tcPr>
          <w:p w14:paraId="00E27059">
            <w:pPr>
              <w:shd w:val="clear"/>
              <w:autoSpaceDE w:val="0"/>
              <w:autoSpaceDN w:val="0"/>
              <w:spacing w:line="360" w:lineRule="auto"/>
              <w:rPr>
                <w:rFonts w:hint="eastAsia" w:ascii="宋体" w:hAnsi="宋体" w:cs="宋体"/>
                <w:color w:val="auto"/>
                <w:sz w:val="24"/>
                <w:highlight w:val="none"/>
              </w:rPr>
            </w:pPr>
          </w:p>
        </w:tc>
        <w:tc>
          <w:tcPr>
            <w:tcW w:w="498" w:type="pct"/>
            <w:tcBorders>
              <w:top w:val="single" w:color="auto" w:sz="6" w:space="0"/>
              <w:left w:val="single" w:color="auto" w:sz="6" w:space="0"/>
              <w:bottom w:val="single" w:color="auto" w:sz="6" w:space="0"/>
              <w:right w:val="single" w:color="auto" w:sz="6" w:space="0"/>
            </w:tcBorders>
          </w:tcPr>
          <w:p w14:paraId="1975F258">
            <w:pPr>
              <w:shd w:val="clear"/>
              <w:autoSpaceDE w:val="0"/>
              <w:autoSpaceDN w:val="0"/>
              <w:spacing w:line="360" w:lineRule="auto"/>
              <w:rPr>
                <w:rFonts w:hint="eastAsia" w:ascii="宋体" w:hAnsi="宋体" w:cs="宋体"/>
                <w:color w:val="auto"/>
                <w:sz w:val="24"/>
                <w:highlight w:val="none"/>
              </w:rPr>
            </w:pPr>
          </w:p>
        </w:tc>
        <w:tc>
          <w:tcPr>
            <w:tcW w:w="814" w:type="pct"/>
            <w:tcBorders>
              <w:top w:val="single" w:color="auto" w:sz="6" w:space="0"/>
              <w:left w:val="single" w:color="auto" w:sz="6" w:space="0"/>
              <w:bottom w:val="single" w:color="auto" w:sz="6" w:space="0"/>
              <w:right w:val="single" w:color="auto" w:sz="6" w:space="0"/>
            </w:tcBorders>
          </w:tcPr>
          <w:p w14:paraId="72EF1830">
            <w:pPr>
              <w:shd w:val="clear"/>
              <w:autoSpaceDE w:val="0"/>
              <w:autoSpaceDN w:val="0"/>
              <w:spacing w:line="360" w:lineRule="auto"/>
              <w:rPr>
                <w:rFonts w:hint="eastAsia" w:ascii="宋体" w:hAnsi="宋体" w:cs="宋体"/>
                <w:color w:val="auto"/>
                <w:sz w:val="24"/>
                <w:highlight w:val="none"/>
              </w:rPr>
            </w:pPr>
          </w:p>
        </w:tc>
      </w:tr>
    </w:tbl>
    <w:p w14:paraId="048755F8">
      <w:pPr>
        <w:shd w:val="clear"/>
        <w:spacing w:line="360" w:lineRule="auto"/>
        <w:rPr>
          <w:rFonts w:hint="eastAsia" w:ascii="宋体" w:hAnsi="宋体" w:cs="宋体"/>
          <w:b/>
          <w:bCs/>
          <w:color w:val="auto"/>
          <w:sz w:val="24"/>
          <w:highlight w:val="none"/>
        </w:rPr>
      </w:pPr>
      <w:r>
        <w:rPr>
          <w:rFonts w:hint="eastAsia" w:ascii="宋体" w:hAnsi="宋体" w:cs="宋体"/>
          <w:b/>
          <w:color w:val="auto"/>
          <w:sz w:val="24"/>
          <w:highlight w:val="none"/>
        </w:rPr>
        <w:t>注：投标人可按上述的格式自行编制，须随表提交相应的证书复印件并注明所在投标技术文件页码。</w:t>
      </w:r>
    </w:p>
    <w:p w14:paraId="5062B0CF">
      <w:pPr>
        <w:shd w:val="clear"/>
        <w:spacing w:line="360" w:lineRule="auto"/>
        <w:rPr>
          <w:rFonts w:hint="eastAsia" w:ascii="宋体" w:hAnsi="宋体" w:cs="宋体"/>
          <w:b/>
          <w:bCs/>
          <w:color w:val="auto"/>
          <w:sz w:val="24"/>
          <w:highlight w:val="none"/>
        </w:rPr>
      </w:pPr>
      <w:r>
        <w:rPr>
          <w:rFonts w:hint="eastAsia" w:ascii="宋体" w:hAnsi="宋体" w:cs="宋体"/>
          <w:b/>
          <w:color w:val="auto"/>
          <w:sz w:val="24"/>
          <w:highlight w:val="none"/>
        </w:rPr>
        <w:t>附表C：</w:t>
      </w:r>
      <w:r>
        <w:rPr>
          <w:rFonts w:hint="eastAsia" w:ascii="宋体" w:hAnsi="宋体" w:cs="宋体"/>
          <w:b/>
          <w:color w:val="auto"/>
          <w:sz w:val="24"/>
          <w:highlight w:val="none"/>
          <w:lang w:val="en-US" w:eastAsia="zh-CN"/>
        </w:rPr>
        <w:t>本项目团队人员身份证、证书等相关证明材料。</w:t>
      </w:r>
    </w:p>
    <w:p w14:paraId="76384134">
      <w:pPr>
        <w:shd w:val="clear"/>
        <w:spacing w:line="360" w:lineRule="auto"/>
        <w:contextualSpacing/>
        <w:rPr>
          <w:rFonts w:hint="eastAsia"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r>
        <w:rPr>
          <w:rFonts w:hint="eastAsia" w:ascii="宋体" w:hAnsi="宋体"/>
          <w:color w:val="auto"/>
          <w:spacing w:val="20"/>
          <w:sz w:val="24"/>
          <w:highlight w:val="none"/>
          <w:u w:val="single"/>
        </w:rPr>
        <w:t xml:space="preserve">        </w:t>
      </w:r>
    </w:p>
    <w:p w14:paraId="0E1F3AB4">
      <w:pPr>
        <w:shd w:val="clear"/>
        <w:spacing w:line="360" w:lineRule="auto"/>
        <w:contextualSpacing/>
        <w:jc w:val="left"/>
        <w:rPr>
          <w:rFonts w:hint="eastAsia" w:ascii="宋体" w:hAnsi="宋体"/>
          <w:color w:val="auto"/>
          <w:spacing w:val="20"/>
          <w:sz w:val="24"/>
          <w:highlight w:val="none"/>
        </w:rPr>
      </w:pPr>
      <w:r>
        <w:rPr>
          <w:rFonts w:hint="eastAsia" w:ascii="宋体" w:hAnsi="宋体"/>
          <w:color w:val="auto"/>
          <w:spacing w:val="20"/>
          <w:sz w:val="24"/>
          <w:highlight w:val="none"/>
        </w:rPr>
        <w:t>投标人（盖</w:t>
      </w:r>
      <w:r>
        <w:rPr>
          <w:rFonts w:hint="eastAsia" w:ascii="宋体" w:hAnsi="宋体"/>
          <w:color w:val="auto"/>
          <w:spacing w:val="20"/>
          <w:sz w:val="24"/>
          <w:highlight w:val="none"/>
          <w:lang w:val="en-US" w:eastAsia="zh-CN"/>
        </w:rPr>
        <w:t>公章</w:t>
      </w:r>
      <w:r>
        <w:rPr>
          <w:rFonts w:hint="eastAsia" w:ascii="宋体" w:hAnsi="宋体"/>
          <w:color w:val="auto"/>
          <w:spacing w:val="20"/>
          <w:sz w:val="24"/>
          <w:highlight w:val="none"/>
        </w:rPr>
        <w:t>）：</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0C561C6A">
      <w:pPr>
        <w:shd w:val="clear"/>
        <w:spacing w:line="360" w:lineRule="auto"/>
        <w:contextualSpacing/>
        <w:jc w:val="left"/>
        <w:rPr>
          <w:rFonts w:hint="eastAsia" w:ascii="宋体" w:hAnsi="宋体"/>
          <w:b/>
          <w:color w:val="auto"/>
          <w:sz w:val="24"/>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r>
        <w:rPr>
          <w:rFonts w:ascii="宋体" w:hAnsi="宋体"/>
          <w:b/>
          <w:color w:val="auto"/>
          <w:sz w:val="24"/>
          <w:highlight w:val="none"/>
        </w:rPr>
        <w:br w:type="page"/>
      </w:r>
    </w:p>
    <w:p w14:paraId="5F37A108">
      <w:pPr>
        <w:shd w:val="clear"/>
        <w:jc w:val="center"/>
        <w:rPr>
          <w:b/>
          <w:color w:val="auto"/>
          <w:sz w:val="28"/>
          <w:szCs w:val="28"/>
          <w:highlight w:val="none"/>
        </w:rPr>
      </w:pPr>
      <w:r>
        <w:rPr>
          <w:rFonts w:hint="eastAsia"/>
          <w:b/>
          <w:color w:val="auto"/>
          <w:sz w:val="28"/>
          <w:szCs w:val="28"/>
          <w:highlight w:val="none"/>
        </w:rPr>
        <w:t>六、其他文书、文件格式</w:t>
      </w:r>
    </w:p>
    <w:p w14:paraId="435147B2">
      <w:pPr>
        <w:shd w:val="clear"/>
        <w:spacing w:before="120" w:beforeLines="50" w:after="120" w:afterLines="50" w:line="400" w:lineRule="exact"/>
        <w:rPr>
          <w:rFonts w:hint="eastAsia" w:ascii="宋体" w:hAnsi="宋体"/>
          <w:color w:val="auto"/>
          <w:sz w:val="24"/>
          <w:highlight w:val="none"/>
        </w:rPr>
      </w:pPr>
    </w:p>
    <w:p w14:paraId="0C830663">
      <w:pPr>
        <w:shd w:val="clear"/>
        <w:snapToGrid w:val="0"/>
        <w:spacing w:before="120" w:beforeLines="50" w:after="50"/>
        <w:jc w:val="left"/>
        <w:rPr>
          <w:color w:val="auto"/>
          <w:highlight w:val="none"/>
        </w:rPr>
      </w:pPr>
      <w:r>
        <w:rPr>
          <w:rFonts w:hint="eastAsia" w:ascii="宋体" w:hAnsi="宋体"/>
          <w:b/>
          <w:color w:val="auto"/>
          <w:sz w:val="24"/>
          <w:highlight w:val="none"/>
        </w:rPr>
        <w:t>中小企业声明函格式</w:t>
      </w:r>
    </w:p>
    <w:p w14:paraId="0D8F174A">
      <w:pPr>
        <w:shd w:val="clear"/>
        <w:rPr>
          <w:color w:val="auto"/>
          <w:highlight w:val="none"/>
        </w:rPr>
      </w:pPr>
    </w:p>
    <w:p w14:paraId="23376751">
      <w:pPr>
        <w:shd w:val="clear"/>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rPr>
        <w:t>中小企业声明函（服务）</w:t>
      </w:r>
    </w:p>
    <w:p w14:paraId="4DE27148">
      <w:pPr>
        <w:shd w:val="clear"/>
        <w:spacing w:before="2" w:line="500" w:lineRule="exact"/>
        <w:rPr>
          <w:rFonts w:hint="eastAsia" w:ascii="宋体" w:hAnsi="宋体" w:cs="宋体"/>
          <w:b/>
          <w:bCs/>
          <w:color w:val="auto"/>
          <w:sz w:val="24"/>
          <w:highlight w:val="none"/>
        </w:rPr>
      </w:pPr>
    </w:p>
    <w:p w14:paraId="43FFE12B">
      <w:pPr>
        <w:pStyle w:val="19"/>
        <w:shd w:val="clear"/>
        <w:spacing w:line="500" w:lineRule="exact"/>
        <w:ind w:right="142" w:firstLine="480" w:firstLineChars="200"/>
        <w:rPr>
          <w:rFonts w:hint="eastAsia" w:ascii="宋体" w:hAnsi="宋体"/>
          <w:color w:val="auto"/>
          <w:highlight w:val="none"/>
        </w:rPr>
      </w:pPr>
      <w:r>
        <w:rPr>
          <w:rFonts w:ascii="宋体" w:hAnsi="宋体"/>
          <w:color w:val="auto"/>
          <w:highlight w:val="none"/>
        </w:rPr>
        <w:t>本公司（联合体）郑重声明，根据《政府采购促进中小企业发展管理办法》（财库﹝2020﹞46号）的规定，本公司（联合体）参加</w:t>
      </w:r>
      <w:r>
        <w:rPr>
          <w:rFonts w:ascii="宋体" w:hAnsi="宋体"/>
          <w:color w:val="auto"/>
          <w:highlight w:val="none"/>
          <w:u w:val="single"/>
        </w:rPr>
        <w:t>（单位名称）</w:t>
      </w:r>
      <w:r>
        <w:rPr>
          <w:rFonts w:ascii="宋体" w:hAnsi="宋体"/>
          <w:color w:val="auto"/>
          <w:highlight w:val="none"/>
        </w:rPr>
        <w:t>的</w:t>
      </w:r>
      <w:r>
        <w:rPr>
          <w:rFonts w:ascii="宋体" w:hAnsi="宋体"/>
          <w:color w:val="auto"/>
          <w:highlight w:val="none"/>
          <w:u w:val="single"/>
        </w:rPr>
        <w:t>（项目名称）</w:t>
      </w:r>
      <w:r>
        <w:rPr>
          <w:rFonts w:ascii="宋体" w:hAnsi="宋体"/>
          <w:color w:val="auto"/>
          <w:highlight w:val="none"/>
        </w:rPr>
        <w:t>采购活动，</w:t>
      </w:r>
      <w:r>
        <w:rPr>
          <w:rFonts w:hint="eastAsia" w:ascii="宋体" w:hAnsi="宋体"/>
          <w:color w:val="auto"/>
          <w:highlight w:val="none"/>
        </w:rPr>
        <w:t>服务全部由符合政策要求的中小企业承接。相关企业（含联合体中的中小企业、签订分包意向协议的中小企业）的具体情况如下：</w:t>
      </w:r>
    </w:p>
    <w:p w14:paraId="1A6D1A65">
      <w:pPr>
        <w:shd w:val="clear"/>
        <w:tabs>
          <w:tab w:val="left" w:pos="1384"/>
          <w:tab w:val="left" w:pos="4562"/>
          <w:tab w:val="left" w:pos="6803"/>
        </w:tabs>
        <w:spacing w:before="13" w:line="500" w:lineRule="exact"/>
        <w:ind w:right="142" w:firstLine="686" w:firstLineChars="286"/>
        <w:rPr>
          <w:rFonts w:hint="eastAsia"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48D05086">
      <w:pPr>
        <w:shd w:val="clear"/>
        <w:tabs>
          <w:tab w:val="left" w:pos="1065"/>
          <w:tab w:val="left" w:pos="4262"/>
          <w:tab w:val="left" w:pos="6477"/>
        </w:tabs>
        <w:spacing w:before="20" w:line="500" w:lineRule="exact"/>
        <w:ind w:right="84" w:firstLine="686" w:firstLineChars="286"/>
        <w:rPr>
          <w:rFonts w:hint="eastAsia"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3781F696">
      <w:pPr>
        <w:pStyle w:val="19"/>
        <w:shd w:val="clear"/>
        <w:spacing w:before="34" w:line="500" w:lineRule="exact"/>
        <w:ind w:left="765" w:right="142" w:hanging="5"/>
        <w:rPr>
          <w:rFonts w:hint="eastAsia" w:ascii="宋体" w:hAnsi="宋体"/>
          <w:color w:val="auto"/>
          <w:highlight w:val="none"/>
        </w:rPr>
      </w:pPr>
      <w:r>
        <w:rPr>
          <w:rFonts w:ascii="宋体" w:hAnsi="宋体"/>
          <w:color w:val="auto"/>
          <w:highlight w:val="none"/>
        </w:rPr>
        <w:t xml:space="preserve">…… </w:t>
      </w:r>
    </w:p>
    <w:p w14:paraId="483D17B0">
      <w:pPr>
        <w:pStyle w:val="19"/>
        <w:shd w:val="clear"/>
        <w:spacing w:before="34" w:line="500" w:lineRule="exact"/>
        <w:ind w:right="142" w:firstLine="480" w:firstLineChars="200"/>
        <w:rPr>
          <w:rFonts w:hint="eastAsia" w:ascii="宋体" w:hAnsi="宋体"/>
          <w:color w:val="auto"/>
          <w:highlight w:val="none"/>
        </w:rPr>
      </w:pPr>
      <w:r>
        <w:rPr>
          <w:rFonts w:ascii="宋体" w:hAnsi="宋体"/>
          <w:color w:val="auto"/>
          <w:highlight w:val="none"/>
        </w:rPr>
        <w:t>以上企业，不属于大企业的分支机构，不存在控股股东为大企业的情形，也不存在与大企业的负责人为同一人的情形。</w:t>
      </w:r>
    </w:p>
    <w:p w14:paraId="32CDC345">
      <w:pPr>
        <w:pStyle w:val="19"/>
        <w:shd w:val="clear"/>
        <w:spacing w:before="34" w:line="500" w:lineRule="exact"/>
        <w:ind w:right="142" w:firstLine="480" w:firstLineChars="200"/>
        <w:rPr>
          <w:rFonts w:hint="eastAsia" w:ascii="宋体" w:hAnsi="宋体"/>
          <w:color w:val="auto"/>
          <w:highlight w:val="none"/>
        </w:rPr>
      </w:pPr>
      <w:r>
        <w:rPr>
          <w:rFonts w:ascii="宋体" w:hAnsi="宋体"/>
          <w:color w:val="auto"/>
          <w:highlight w:val="none"/>
        </w:rPr>
        <w:t>本企业对上述声明内容的真实性负责。如有虚假，将依法承担相应责任。</w:t>
      </w:r>
    </w:p>
    <w:p w14:paraId="6F36921A">
      <w:pPr>
        <w:pStyle w:val="19"/>
        <w:shd w:val="clear"/>
        <w:spacing w:before="56" w:line="500" w:lineRule="exact"/>
        <w:ind w:left="3960" w:right="1808"/>
        <w:rPr>
          <w:rFonts w:hint="eastAsia" w:ascii="宋体" w:hAnsi="宋体"/>
          <w:color w:val="auto"/>
          <w:highlight w:val="none"/>
        </w:rPr>
      </w:pPr>
      <w:r>
        <w:rPr>
          <w:rFonts w:ascii="宋体" w:hAnsi="宋体"/>
          <w:color w:val="auto"/>
          <w:highlight w:val="none"/>
        </w:rPr>
        <w:t>企业名称（</w:t>
      </w:r>
      <w:r>
        <w:rPr>
          <w:rFonts w:hint="eastAsia" w:ascii="宋体" w:hAnsi="宋体"/>
          <w:color w:val="auto"/>
          <w:highlight w:val="none"/>
          <w:lang w:val="en-US" w:eastAsia="zh-CN"/>
        </w:rPr>
        <w:t>公章</w:t>
      </w:r>
      <w:r>
        <w:rPr>
          <w:rFonts w:ascii="宋体" w:hAnsi="宋体"/>
          <w:color w:val="auto"/>
          <w:highlight w:val="none"/>
        </w:rPr>
        <w:t xml:space="preserve">）： </w:t>
      </w:r>
    </w:p>
    <w:p w14:paraId="0E3E7C19">
      <w:pPr>
        <w:pStyle w:val="19"/>
        <w:shd w:val="clear"/>
        <w:spacing w:before="56" w:line="500" w:lineRule="exact"/>
        <w:ind w:left="3960" w:right="1808"/>
        <w:rPr>
          <w:rFonts w:hint="eastAsia" w:ascii="宋体" w:hAnsi="宋体"/>
          <w:color w:val="auto"/>
          <w:highlight w:val="none"/>
        </w:rPr>
      </w:pPr>
      <w:r>
        <w:rPr>
          <w:rFonts w:ascii="宋体" w:hAnsi="宋体"/>
          <w:color w:val="auto"/>
          <w:highlight w:val="none"/>
        </w:rPr>
        <w:t>日 期：</w:t>
      </w:r>
    </w:p>
    <w:p w14:paraId="6F03DDFA">
      <w:pPr>
        <w:shd w:val="clear"/>
        <w:rPr>
          <w:rFonts w:hint="eastAsia" w:ascii="宋体" w:hAnsi="宋体"/>
          <w:color w:val="auto"/>
          <w:sz w:val="24"/>
          <w:highlight w:val="none"/>
        </w:rPr>
      </w:pPr>
      <w:r>
        <w:rPr>
          <w:rFonts w:hint="eastAsia" w:ascii="宋体" w:hAnsi="宋体"/>
          <w:color w:val="auto"/>
          <w:spacing w:val="6"/>
          <w:sz w:val="24"/>
          <w:highlight w:val="none"/>
        </w:rPr>
        <w:t xml:space="preserve"> </w:t>
      </w:r>
    </w:p>
    <w:p w14:paraId="7F9C09B0">
      <w:pPr>
        <w:shd w:val="clear"/>
        <w:snapToGrid w:val="0"/>
        <w:spacing w:before="120" w:beforeLines="50" w:after="50"/>
        <w:ind w:left="142"/>
        <w:jc w:val="left"/>
        <w:rPr>
          <w:rFonts w:hint="eastAsia" w:ascii="宋体" w:hAnsi="宋体"/>
          <w:b/>
          <w:color w:val="auto"/>
          <w:sz w:val="24"/>
          <w:highlight w:val="none"/>
        </w:rPr>
      </w:pPr>
      <w:r>
        <w:rPr>
          <w:rFonts w:hint="eastAsia" w:ascii="宋体" w:hAnsi="宋体"/>
          <w:color w:val="auto"/>
          <w:sz w:val="24"/>
          <w:highlight w:val="none"/>
        </w:rPr>
        <w:t>注：享受《政府采购促进中小企业发展管理办法》（财库〔2020〕46号）规定的中小企业扶持政策的，招标人、采购代理机构应当随中标结果公开中标供应商的《中小企业声明函》。从业人员、营业收入、资产总额填报上一年度数据，无上一年度数据的新成立企业可不填报。</w:t>
      </w:r>
      <w:r>
        <w:rPr>
          <w:color w:val="auto"/>
          <w:highlight w:val="none"/>
        </w:rPr>
        <w:br w:type="page"/>
      </w:r>
      <w:r>
        <w:rPr>
          <w:rFonts w:hint="eastAsia" w:ascii="宋体" w:hAnsi="宋体"/>
          <w:b/>
          <w:color w:val="auto"/>
          <w:sz w:val="24"/>
          <w:highlight w:val="none"/>
        </w:rPr>
        <w:t>残疾人福利性单位声明函格式</w:t>
      </w:r>
    </w:p>
    <w:p w14:paraId="7CF87312">
      <w:pPr>
        <w:shd w:val="clear"/>
        <w:spacing w:line="588" w:lineRule="exact"/>
        <w:jc w:val="center"/>
        <w:rPr>
          <w:rFonts w:ascii="仿宋_GB2312" w:eastAsia="仿宋_GB2312"/>
          <w:b/>
          <w:color w:val="auto"/>
          <w:spacing w:val="6"/>
          <w:sz w:val="32"/>
          <w:szCs w:val="32"/>
          <w:highlight w:val="none"/>
        </w:rPr>
      </w:pPr>
    </w:p>
    <w:p w14:paraId="6E117614">
      <w:pPr>
        <w:shd w:val="clear"/>
        <w:spacing w:line="588" w:lineRule="exact"/>
        <w:jc w:val="center"/>
        <w:rPr>
          <w:rFonts w:hint="eastAsia" w:ascii="微软雅黑" w:hAnsi="微软雅黑" w:eastAsia="微软雅黑" w:cs="微软雅黑"/>
          <w:bCs/>
          <w:color w:val="auto"/>
          <w:spacing w:val="6"/>
          <w:sz w:val="44"/>
          <w:szCs w:val="44"/>
          <w:highlight w:val="none"/>
        </w:rPr>
      </w:pPr>
      <w:r>
        <w:rPr>
          <w:rFonts w:hint="eastAsia" w:ascii="微软雅黑" w:hAnsi="微软雅黑" w:eastAsia="微软雅黑" w:cs="微软雅黑"/>
          <w:bCs/>
          <w:color w:val="auto"/>
          <w:spacing w:val="6"/>
          <w:sz w:val="44"/>
          <w:szCs w:val="44"/>
          <w:highlight w:val="none"/>
        </w:rPr>
        <w:t>残疾人福利性单位声明函</w:t>
      </w:r>
    </w:p>
    <w:p w14:paraId="066990F0">
      <w:pPr>
        <w:shd w:val="clear"/>
        <w:spacing w:line="360" w:lineRule="auto"/>
        <w:contextualSpacing/>
        <w:rPr>
          <w:rFonts w:ascii="仿宋_GB2312" w:eastAsia="仿宋_GB2312"/>
          <w:bCs/>
          <w:color w:val="auto"/>
          <w:spacing w:val="6"/>
          <w:sz w:val="30"/>
          <w:szCs w:val="30"/>
          <w:highlight w:val="none"/>
        </w:rPr>
      </w:pPr>
    </w:p>
    <w:p w14:paraId="34C3B350">
      <w:pPr>
        <w:shd w:val="clear"/>
        <w:spacing w:line="360" w:lineRule="auto"/>
        <w:ind w:firstLine="504" w:firstLineChars="200"/>
        <w:contextualSpacing/>
        <w:rPr>
          <w:rFonts w:hint="eastAsia"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w:t>
      </w:r>
      <w:r>
        <w:rPr>
          <w:rFonts w:hint="eastAsia" w:ascii="宋体" w:hAnsi="宋体"/>
          <w:color w:val="auto"/>
          <w:sz w:val="24"/>
          <w:highlight w:val="none"/>
        </w:rPr>
        <w:t>〔2017〕 141</w:t>
      </w:r>
      <w:r>
        <w:rPr>
          <w:rFonts w:hint="eastAsia" w:ascii="宋体" w:hAnsi="宋体"/>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auto"/>
          <w:spacing w:val="-6"/>
          <w:sz w:val="24"/>
          <w:highlight w:val="none"/>
        </w:rPr>
        <w:t>疾人福利性单位制造的货物（不包括使用非残疾人福利性单位注册商标的货物）。</w:t>
      </w:r>
    </w:p>
    <w:p w14:paraId="747FFFF0">
      <w:pPr>
        <w:shd w:val="clear"/>
        <w:spacing w:line="360" w:lineRule="auto"/>
        <w:ind w:firstLine="504" w:firstLineChars="200"/>
        <w:contextualSpacing/>
        <w:rPr>
          <w:rFonts w:hint="eastAsia"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72F95C04">
      <w:pPr>
        <w:shd w:val="clear"/>
        <w:spacing w:line="360" w:lineRule="auto"/>
        <w:ind w:firstLine="504" w:firstLineChars="200"/>
        <w:contextualSpacing/>
        <w:rPr>
          <w:rFonts w:hint="eastAsia" w:ascii="宋体" w:hAnsi="宋体"/>
          <w:color w:val="auto"/>
          <w:spacing w:val="6"/>
          <w:sz w:val="24"/>
          <w:highlight w:val="none"/>
        </w:rPr>
      </w:pPr>
    </w:p>
    <w:p w14:paraId="47A9200D">
      <w:pPr>
        <w:shd w:val="clear"/>
        <w:spacing w:line="360" w:lineRule="auto"/>
        <w:ind w:firstLine="504" w:firstLineChars="200"/>
        <w:contextualSpacing/>
        <w:rPr>
          <w:rFonts w:hint="eastAsia" w:ascii="宋体" w:hAnsi="宋体"/>
          <w:color w:val="auto"/>
          <w:spacing w:val="6"/>
          <w:sz w:val="24"/>
          <w:highlight w:val="none"/>
        </w:rPr>
      </w:pPr>
    </w:p>
    <w:p w14:paraId="2A583028">
      <w:pPr>
        <w:shd w:val="clear"/>
        <w:tabs>
          <w:tab w:val="left" w:pos="4860"/>
        </w:tabs>
        <w:spacing w:line="360" w:lineRule="auto"/>
        <w:ind w:right="1560" w:firstLine="504" w:firstLineChars="200"/>
        <w:contextualSpacing/>
        <w:jc w:val="center"/>
        <w:rPr>
          <w:rFonts w:hint="eastAsia" w:ascii="宋体" w:hAnsi="宋体"/>
          <w:color w:val="auto"/>
          <w:spacing w:val="6"/>
          <w:sz w:val="24"/>
          <w:highlight w:val="none"/>
        </w:rPr>
      </w:pPr>
      <w:r>
        <w:rPr>
          <w:rFonts w:hint="eastAsia" w:ascii="宋体" w:hAnsi="宋体"/>
          <w:color w:val="auto"/>
          <w:spacing w:val="6"/>
          <w:sz w:val="24"/>
          <w:highlight w:val="none"/>
        </w:rPr>
        <w:t>单位名称（盖</w:t>
      </w:r>
      <w:r>
        <w:rPr>
          <w:rFonts w:hint="eastAsia" w:ascii="宋体" w:hAnsi="宋体"/>
          <w:color w:val="auto"/>
          <w:spacing w:val="6"/>
          <w:sz w:val="24"/>
          <w:highlight w:val="none"/>
          <w:lang w:val="en-US" w:eastAsia="zh-CN"/>
        </w:rPr>
        <w:t>公章</w:t>
      </w:r>
      <w:r>
        <w:rPr>
          <w:rFonts w:hint="eastAsia" w:ascii="宋体" w:hAnsi="宋体"/>
          <w:color w:val="auto"/>
          <w:spacing w:val="6"/>
          <w:sz w:val="24"/>
          <w:highlight w:val="none"/>
        </w:rPr>
        <w:t>）：</w:t>
      </w:r>
    </w:p>
    <w:p w14:paraId="1C50BA46">
      <w:pPr>
        <w:shd w:val="clear"/>
        <w:tabs>
          <w:tab w:val="left" w:pos="4860"/>
        </w:tabs>
        <w:spacing w:line="360" w:lineRule="auto"/>
        <w:ind w:right="1560" w:firstLine="504" w:firstLineChars="200"/>
        <w:contextualSpacing/>
        <w:jc w:val="center"/>
        <w:rPr>
          <w:rFonts w:hint="eastAsia" w:ascii="宋体" w:hAnsi="宋体"/>
          <w:color w:val="auto"/>
          <w:spacing w:val="6"/>
          <w:sz w:val="24"/>
          <w:highlight w:val="none"/>
        </w:rPr>
      </w:pPr>
      <w:r>
        <w:rPr>
          <w:rFonts w:hint="eastAsia" w:ascii="宋体" w:hAnsi="宋体"/>
          <w:color w:val="auto"/>
          <w:spacing w:val="6"/>
          <w:sz w:val="24"/>
          <w:highlight w:val="none"/>
        </w:rPr>
        <w:t>日  期：</w:t>
      </w:r>
    </w:p>
    <w:p w14:paraId="7E93A573">
      <w:pPr>
        <w:shd w:val="clear"/>
        <w:spacing w:line="360" w:lineRule="auto"/>
        <w:contextualSpacing/>
        <w:rPr>
          <w:rFonts w:hint="eastAsia" w:ascii="宋体" w:hAnsi="宋体"/>
          <w:color w:val="auto"/>
          <w:sz w:val="24"/>
          <w:highlight w:val="none"/>
        </w:rPr>
      </w:pPr>
    </w:p>
    <w:p w14:paraId="08C7334C">
      <w:pPr>
        <w:shd w:val="clear"/>
        <w:spacing w:line="360" w:lineRule="auto"/>
        <w:contextualSpacing/>
        <w:rPr>
          <w:rFonts w:hint="eastAsia" w:ascii="宋体" w:hAnsi="宋体"/>
          <w:color w:val="auto"/>
          <w:sz w:val="24"/>
          <w:highlight w:val="none"/>
        </w:rPr>
      </w:pPr>
    </w:p>
    <w:p w14:paraId="2CB41B4C">
      <w:pPr>
        <w:shd w:val="clear"/>
        <w:spacing w:line="360" w:lineRule="auto"/>
        <w:contextualSpacing/>
        <w:rPr>
          <w:rFonts w:hint="eastAsia" w:ascii="宋体" w:hAnsi="宋体"/>
          <w:color w:val="auto"/>
          <w:sz w:val="24"/>
          <w:highlight w:val="none"/>
        </w:rPr>
      </w:pPr>
    </w:p>
    <w:p w14:paraId="077B1ABB">
      <w:pPr>
        <w:shd w:val="clear"/>
        <w:spacing w:line="360" w:lineRule="auto"/>
        <w:contextualSpacing/>
        <w:rPr>
          <w:rFonts w:hint="eastAsia" w:ascii="宋体" w:hAnsi="宋体"/>
          <w:color w:val="auto"/>
          <w:sz w:val="24"/>
          <w:highlight w:val="none"/>
        </w:rPr>
      </w:pPr>
      <w:r>
        <w:rPr>
          <w:rFonts w:hint="eastAsia" w:ascii="宋体" w:hAnsi="宋体"/>
          <w:color w:val="auto"/>
          <w:sz w:val="24"/>
          <w:highlight w:val="none"/>
        </w:rPr>
        <w:t>注：请根据自己的真实情况出具《残疾人福利性单位声明函》。依法享受中小企业优惠政策的，招标人或者采购代理机构在公告中标结果时，同时公告其《残疾人福利性单位声明函》，接受社会监督。</w:t>
      </w:r>
    </w:p>
    <w:p w14:paraId="2FFC2804">
      <w:pPr>
        <w:shd w:val="clear"/>
        <w:spacing w:line="360" w:lineRule="auto"/>
        <w:jc w:val="left"/>
        <w:rPr>
          <w:rFonts w:hint="eastAsia" w:ascii="宋体" w:hAnsi="宋体"/>
          <w:color w:val="auto"/>
          <w:sz w:val="24"/>
          <w:highlight w:val="none"/>
        </w:rPr>
      </w:pPr>
      <w:r>
        <w:rPr>
          <w:rFonts w:ascii="宋体" w:hAnsi="宋体"/>
          <w:color w:val="auto"/>
          <w:sz w:val="24"/>
          <w:highlight w:val="none"/>
        </w:rPr>
        <w:br w:type="page"/>
      </w:r>
      <w:r>
        <w:rPr>
          <w:rFonts w:hint="eastAsia" w:ascii="宋体" w:hAnsi="宋体"/>
          <w:b/>
          <w:color w:val="auto"/>
          <w:sz w:val="24"/>
          <w:highlight w:val="none"/>
        </w:rPr>
        <w:t>质疑函（格式）</w:t>
      </w:r>
    </w:p>
    <w:p w14:paraId="5392E930">
      <w:pPr>
        <w:shd w:val="clear"/>
        <w:spacing w:line="360" w:lineRule="auto"/>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rPr>
        <w:t>质疑函（格式）</w:t>
      </w:r>
    </w:p>
    <w:p w14:paraId="34E1D105">
      <w:pPr>
        <w:pStyle w:val="26"/>
        <w:shd w:val="clear"/>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一、质疑供应商基本信息：</w:t>
      </w:r>
    </w:p>
    <w:p w14:paraId="3C1E6A85">
      <w:pPr>
        <w:pStyle w:val="26"/>
        <w:shd w:val="clear"/>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2BFE78A">
      <w:pPr>
        <w:pStyle w:val="26"/>
        <w:shd w:val="clear"/>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BA92829">
      <w:pPr>
        <w:pStyle w:val="26"/>
        <w:shd w:val="clear"/>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391A6D43">
      <w:pPr>
        <w:pStyle w:val="26"/>
        <w:shd w:val="clear"/>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5BEC8876">
      <w:pPr>
        <w:pStyle w:val="26"/>
        <w:shd w:val="clear"/>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390B5DD6">
      <w:pPr>
        <w:pStyle w:val="26"/>
        <w:shd w:val="clear"/>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45A16F8">
      <w:pPr>
        <w:pStyle w:val="26"/>
        <w:shd w:val="clear"/>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5A36B0C4">
      <w:pPr>
        <w:pStyle w:val="26"/>
        <w:shd w:val="clear"/>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5DAE1D63">
      <w:pPr>
        <w:pStyle w:val="26"/>
        <w:shd w:val="clear"/>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6EC42F46">
      <w:pPr>
        <w:pStyle w:val="26"/>
        <w:shd w:val="clear"/>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招标人名称：</w:t>
      </w:r>
      <w:r>
        <w:rPr>
          <w:rFonts w:hint="eastAsia" w:hAnsi="宋体"/>
          <w:bCs/>
          <w:color w:val="auto"/>
          <w:sz w:val="24"/>
          <w:szCs w:val="24"/>
          <w:highlight w:val="none"/>
          <w:u w:val="single"/>
        </w:rPr>
        <w:t xml:space="preserve">                                         </w:t>
      </w:r>
    </w:p>
    <w:p w14:paraId="7178E353">
      <w:pPr>
        <w:pStyle w:val="26"/>
        <w:shd w:val="clear"/>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质疑事项：</w:t>
      </w:r>
    </w:p>
    <w:p w14:paraId="1D427D22">
      <w:pPr>
        <w:pStyle w:val="26"/>
        <w:shd w:val="clear"/>
        <w:spacing w:line="360" w:lineRule="auto"/>
        <w:ind w:left="25" w:leftChars="12" w:firstLine="352" w:firstLineChars="147"/>
        <w:rPr>
          <w:rFonts w:hint="eastAsia" w:hAnsi="宋体"/>
          <w:color w:val="auto"/>
          <w:sz w:val="24"/>
          <w:szCs w:val="24"/>
          <w:highlight w:val="none"/>
        </w:rPr>
      </w:pPr>
      <w:r>
        <w:rPr>
          <w:rFonts w:hint="eastAsia" w:hAnsi="宋体"/>
          <w:color w:val="auto"/>
          <w:sz w:val="24"/>
          <w:szCs w:val="24"/>
          <w:highlight w:val="none"/>
        </w:rPr>
        <w:t>□招标文件   招标文件获取日期：</w:t>
      </w:r>
      <w:r>
        <w:rPr>
          <w:rFonts w:hint="eastAsia" w:hAnsi="宋体"/>
          <w:bCs/>
          <w:color w:val="auto"/>
          <w:sz w:val="24"/>
          <w:szCs w:val="24"/>
          <w:highlight w:val="none"/>
          <w:u w:val="single"/>
        </w:rPr>
        <w:t xml:space="preserve">                                   </w:t>
      </w:r>
    </w:p>
    <w:p w14:paraId="1A8ECA32">
      <w:pPr>
        <w:pStyle w:val="26"/>
        <w:shd w:val="clear"/>
        <w:spacing w:line="360" w:lineRule="auto"/>
        <w:ind w:left="25" w:leftChars="12" w:firstLine="352" w:firstLineChars="147"/>
        <w:rPr>
          <w:rFonts w:hint="eastAsia" w:hAnsi="宋体"/>
          <w:color w:val="auto"/>
          <w:sz w:val="24"/>
          <w:szCs w:val="24"/>
          <w:highlight w:val="none"/>
        </w:rPr>
      </w:pPr>
      <w:r>
        <w:rPr>
          <w:rFonts w:hint="eastAsia" w:hAnsi="宋体"/>
          <w:color w:val="auto"/>
          <w:sz w:val="24"/>
          <w:szCs w:val="24"/>
          <w:highlight w:val="none"/>
        </w:rPr>
        <w:t xml:space="preserve">□采购过程   </w:t>
      </w:r>
    </w:p>
    <w:p w14:paraId="05889470">
      <w:pPr>
        <w:pStyle w:val="26"/>
        <w:shd w:val="clear"/>
        <w:spacing w:line="360" w:lineRule="auto"/>
        <w:ind w:left="25" w:leftChars="12" w:firstLine="352" w:firstLineChars="147"/>
        <w:rPr>
          <w:rFonts w:hint="eastAsia" w:hAnsi="宋体"/>
          <w:bCs/>
          <w:color w:val="auto"/>
          <w:sz w:val="24"/>
          <w:szCs w:val="24"/>
          <w:highlight w:val="none"/>
          <w:u w:val="single"/>
        </w:rPr>
      </w:pPr>
      <w:r>
        <w:rPr>
          <w:rFonts w:hint="eastAsia" w:hAnsi="宋体"/>
          <w:color w:val="auto"/>
          <w:sz w:val="24"/>
          <w:szCs w:val="24"/>
          <w:highlight w:val="none"/>
        </w:rPr>
        <w:t xml:space="preserve">□中标结果   </w:t>
      </w:r>
    </w:p>
    <w:p w14:paraId="5D49D88F">
      <w:pPr>
        <w:pStyle w:val="26"/>
        <w:shd w:val="clear"/>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三、质疑事项具体内容</w:t>
      </w:r>
    </w:p>
    <w:p w14:paraId="69AE02DB">
      <w:pPr>
        <w:pStyle w:val="26"/>
        <w:shd w:val="clear"/>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68DC1736">
      <w:pPr>
        <w:pStyle w:val="26"/>
        <w:shd w:val="clear"/>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16FC8B63">
      <w:pPr>
        <w:pStyle w:val="26"/>
        <w:shd w:val="clear"/>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5897B3EF">
      <w:pPr>
        <w:pStyle w:val="26"/>
        <w:shd w:val="clear"/>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质疑事项2</w:t>
      </w:r>
    </w:p>
    <w:p w14:paraId="2E446BD5">
      <w:pPr>
        <w:pStyle w:val="26"/>
        <w:shd w:val="clear"/>
        <w:spacing w:line="360" w:lineRule="auto"/>
        <w:ind w:left="25" w:leftChars="12" w:firstLine="472" w:firstLineChars="197"/>
        <w:rPr>
          <w:rFonts w:hint="eastAsia" w:hAnsi="宋体"/>
          <w:color w:val="auto"/>
          <w:sz w:val="24"/>
          <w:szCs w:val="24"/>
          <w:highlight w:val="none"/>
        </w:rPr>
      </w:pPr>
      <w:r>
        <w:rPr>
          <w:rFonts w:hAnsi="宋体"/>
          <w:color w:val="auto"/>
          <w:sz w:val="24"/>
          <w:szCs w:val="24"/>
          <w:highlight w:val="none"/>
        </w:rPr>
        <w:t>……</w:t>
      </w:r>
    </w:p>
    <w:p w14:paraId="7B67AA9B">
      <w:pPr>
        <w:pStyle w:val="26"/>
        <w:shd w:val="clear"/>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5D9976E9">
      <w:pPr>
        <w:pStyle w:val="26"/>
        <w:shd w:val="clear"/>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56DD48F0">
      <w:pPr>
        <w:pStyle w:val="26"/>
        <w:shd w:val="clear"/>
        <w:spacing w:line="360" w:lineRule="auto"/>
        <w:ind w:left="25" w:leftChars="12" w:firstLine="352" w:firstLineChars="147"/>
        <w:rPr>
          <w:rFonts w:hint="eastAsia" w:hAnsi="宋体"/>
          <w:color w:val="auto"/>
          <w:sz w:val="24"/>
          <w:szCs w:val="24"/>
          <w:highlight w:val="none"/>
        </w:rPr>
      </w:pPr>
    </w:p>
    <w:p w14:paraId="2A28C0CC">
      <w:pPr>
        <w:pStyle w:val="26"/>
        <w:shd w:val="clear"/>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12CBF1C8">
      <w:pPr>
        <w:pStyle w:val="26"/>
        <w:shd w:val="clear"/>
        <w:spacing w:line="360" w:lineRule="auto"/>
        <w:ind w:left="25" w:leftChars="12" w:firstLine="352" w:firstLineChars="147"/>
        <w:rPr>
          <w:rFonts w:hint="eastAsia" w:hAnsi="宋体"/>
          <w:color w:val="auto"/>
          <w:sz w:val="24"/>
          <w:szCs w:val="24"/>
          <w:highlight w:val="none"/>
        </w:rPr>
      </w:pPr>
    </w:p>
    <w:p w14:paraId="7A6C241A">
      <w:pPr>
        <w:pStyle w:val="26"/>
        <w:shd w:val="clear"/>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17709996">
      <w:pPr>
        <w:pStyle w:val="26"/>
        <w:shd w:val="clear"/>
        <w:snapToGrid w:val="0"/>
        <w:spacing w:line="360" w:lineRule="auto"/>
        <w:rPr>
          <w:rFonts w:hint="eastAsia" w:hAnsi="宋体"/>
          <w:b/>
          <w:color w:val="auto"/>
          <w:sz w:val="24"/>
          <w:szCs w:val="24"/>
          <w:highlight w:val="none"/>
        </w:rPr>
      </w:pPr>
    </w:p>
    <w:p w14:paraId="3F65BE6B">
      <w:pPr>
        <w:pStyle w:val="26"/>
        <w:shd w:val="clear"/>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692E8DFF">
      <w:pPr>
        <w:pStyle w:val="26"/>
        <w:shd w:val="clear"/>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7846A286">
      <w:pPr>
        <w:pStyle w:val="26"/>
        <w:shd w:val="clear"/>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8C6D3EA">
      <w:pPr>
        <w:pStyle w:val="26"/>
        <w:shd w:val="clear"/>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759CBDE1">
      <w:pPr>
        <w:pStyle w:val="26"/>
        <w:shd w:val="clear"/>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64D37732">
      <w:pPr>
        <w:pStyle w:val="26"/>
        <w:shd w:val="clear"/>
        <w:spacing w:line="360" w:lineRule="auto"/>
        <w:ind w:left="25" w:leftChars="12" w:firstLine="354" w:firstLineChars="147"/>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BA0490C">
      <w:pPr>
        <w:pStyle w:val="26"/>
        <w:shd w:val="clear"/>
        <w:snapToGrid w:val="0"/>
        <w:rPr>
          <w:b/>
          <w:color w:val="auto"/>
          <w:sz w:val="24"/>
          <w:szCs w:val="24"/>
          <w:highlight w:val="none"/>
        </w:rPr>
      </w:pPr>
    </w:p>
    <w:p w14:paraId="3E1B8B38">
      <w:pPr>
        <w:shd w:val="clear"/>
        <w:spacing w:line="360" w:lineRule="auto"/>
        <w:jc w:val="left"/>
        <w:rPr>
          <w:rFonts w:hint="eastAsia" w:ascii="宋体" w:hAnsi="宋体"/>
          <w:b/>
          <w:bCs/>
          <w:color w:val="auto"/>
          <w:sz w:val="32"/>
          <w:szCs w:val="32"/>
          <w:highlight w:val="none"/>
        </w:rPr>
      </w:pPr>
      <w:r>
        <w:rPr>
          <w:rFonts w:eastAsia="隶书"/>
          <w:color w:val="auto"/>
          <w:sz w:val="44"/>
          <w:highlight w:val="none"/>
        </w:rPr>
        <w:br w:type="page"/>
      </w:r>
      <w:r>
        <w:rPr>
          <w:rFonts w:hint="eastAsia" w:ascii="宋体" w:hAnsi="宋体"/>
          <w:b/>
          <w:color w:val="auto"/>
          <w:sz w:val="24"/>
          <w:highlight w:val="none"/>
        </w:rPr>
        <w:t>投诉书（格式）</w:t>
      </w:r>
    </w:p>
    <w:p w14:paraId="011EE3DB">
      <w:pPr>
        <w:shd w:val="clear"/>
        <w:spacing w:line="360" w:lineRule="auto"/>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rPr>
        <w:t>投诉书（格式）</w:t>
      </w:r>
    </w:p>
    <w:p w14:paraId="2AF4AD7D">
      <w:pPr>
        <w:pStyle w:val="26"/>
        <w:shd w:val="clear"/>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一、投诉相关主体基本情况：</w:t>
      </w:r>
    </w:p>
    <w:p w14:paraId="1F7B4592">
      <w:pPr>
        <w:pStyle w:val="26"/>
        <w:shd w:val="clear"/>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投标人：</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73E3A81">
      <w:pPr>
        <w:pStyle w:val="26"/>
        <w:shd w:val="clear"/>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27C39EA">
      <w:pPr>
        <w:pStyle w:val="26"/>
        <w:shd w:val="clear"/>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3A7F37A0">
      <w:pPr>
        <w:pStyle w:val="26"/>
        <w:shd w:val="clear"/>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C56A960">
      <w:pPr>
        <w:pStyle w:val="26"/>
        <w:shd w:val="clear"/>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398E66F3">
      <w:pPr>
        <w:pStyle w:val="26"/>
        <w:shd w:val="clear"/>
        <w:snapToGrid w:val="0"/>
        <w:spacing w:line="360" w:lineRule="auto"/>
        <w:ind w:firstLine="480" w:firstLineChars="200"/>
        <w:jc w:val="left"/>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1A653D5C">
      <w:pPr>
        <w:pStyle w:val="26"/>
        <w:shd w:val="clear"/>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D989909">
      <w:pPr>
        <w:pStyle w:val="26"/>
        <w:shd w:val="clear"/>
        <w:snapToGrid w:val="0"/>
        <w:spacing w:line="360" w:lineRule="auto"/>
        <w:ind w:firstLine="480" w:firstLineChars="200"/>
        <w:jc w:val="left"/>
        <w:rPr>
          <w:rFonts w:hint="eastAsia" w:hAnsi="宋体"/>
          <w:bCs/>
          <w:color w:val="auto"/>
          <w:sz w:val="24"/>
          <w:szCs w:val="24"/>
          <w:highlight w:val="none"/>
        </w:rPr>
      </w:pPr>
      <w:r>
        <w:rPr>
          <w:rFonts w:hint="eastAsia" w:hAnsi="宋体"/>
          <w:bCs/>
          <w:color w:val="auto"/>
          <w:sz w:val="24"/>
          <w:szCs w:val="24"/>
          <w:highlight w:val="none"/>
        </w:rPr>
        <w:t>被投诉人1：</w:t>
      </w:r>
    </w:p>
    <w:p w14:paraId="3505FF4B">
      <w:pPr>
        <w:pStyle w:val="26"/>
        <w:shd w:val="clear"/>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0CDD8A52">
      <w:pPr>
        <w:pStyle w:val="26"/>
        <w:shd w:val="clear"/>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701A811">
      <w:pPr>
        <w:pStyle w:val="26"/>
        <w:shd w:val="clear"/>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1EED2281">
      <w:pPr>
        <w:pStyle w:val="26"/>
        <w:shd w:val="clear"/>
        <w:snapToGrid w:val="0"/>
        <w:spacing w:line="360" w:lineRule="auto"/>
        <w:ind w:firstLine="480" w:firstLineChars="200"/>
        <w:jc w:val="left"/>
        <w:rPr>
          <w:rFonts w:hint="eastAsia" w:hAnsi="宋体"/>
          <w:bCs/>
          <w:color w:val="auto"/>
          <w:sz w:val="24"/>
          <w:szCs w:val="24"/>
          <w:highlight w:val="none"/>
        </w:rPr>
      </w:pPr>
      <w:r>
        <w:rPr>
          <w:rFonts w:hint="eastAsia" w:hAnsi="宋体"/>
          <w:bCs/>
          <w:color w:val="auto"/>
          <w:sz w:val="24"/>
          <w:szCs w:val="24"/>
          <w:highlight w:val="none"/>
        </w:rPr>
        <w:t>被投诉人2：</w:t>
      </w:r>
    </w:p>
    <w:p w14:paraId="2F64FFAD">
      <w:pPr>
        <w:pStyle w:val="26"/>
        <w:shd w:val="clear"/>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w:t>
      </w:r>
    </w:p>
    <w:p w14:paraId="38891C2D">
      <w:pPr>
        <w:pStyle w:val="26"/>
        <w:shd w:val="clear"/>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13E96CA9">
      <w:pPr>
        <w:pStyle w:val="26"/>
        <w:shd w:val="clear"/>
        <w:snapToGrid w:val="0"/>
        <w:spacing w:line="360" w:lineRule="auto"/>
        <w:ind w:firstLine="480" w:firstLineChars="200"/>
        <w:jc w:val="left"/>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ED076F8">
      <w:pPr>
        <w:pStyle w:val="26"/>
        <w:shd w:val="clear"/>
        <w:snapToGrid w:val="0"/>
        <w:spacing w:line="360" w:lineRule="auto"/>
        <w:ind w:firstLine="480" w:firstLineChars="200"/>
        <w:jc w:val="left"/>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DBA2910">
      <w:pPr>
        <w:pStyle w:val="26"/>
        <w:shd w:val="clear"/>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1F31F9AF">
      <w:pPr>
        <w:pStyle w:val="26"/>
        <w:shd w:val="clear"/>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2555019D">
      <w:pPr>
        <w:pStyle w:val="26"/>
        <w:shd w:val="clear"/>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7AB881D3">
      <w:pPr>
        <w:pStyle w:val="26"/>
        <w:shd w:val="clear"/>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招标人名称：</w:t>
      </w:r>
      <w:r>
        <w:rPr>
          <w:rFonts w:hint="eastAsia" w:hAnsi="宋体"/>
          <w:bCs/>
          <w:color w:val="auto"/>
          <w:sz w:val="24"/>
          <w:szCs w:val="24"/>
          <w:highlight w:val="none"/>
          <w:u w:val="single"/>
        </w:rPr>
        <w:t xml:space="preserve">                                                                        </w:t>
      </w:r>
    </w:p>
    <w:p w14:paraId="53A422CB">
      <w:pPr>
        <w:pStyle w:val="26"/>
        <w:shd w:val="clear"/>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239AA615">
      <w:pPr>
        <w:pStyle w:val="26"/>
        <w:shd w:val="clear"/>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7549D61F">
      <w:pPr>
        <w:pStyle w:val="26"/>
        <w:shd w:val="clear"/>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777206E6">
      <w:pPr>
        <w:pStyle w:val="26"/>
        <w:shd w:val="clear"/>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0C707EFD">
      <w:pPr>
        <w:pStyle w:val="26"/>
        <w:shd w:val="clear"/>
        <w:spacing w:line="360" w:lineRule="auto"/>
        <w:ind w:left="25" w:leftChars="12"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3FD363AD">
      <w:pPr>
        <w:pStyle w:val="26"/>
        <w:shd w:val="clear"/>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04F6EB0">
      <w:pPr>
        <w:pStyle w:val="26"/>
        <w:shd w:val="clear"/>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744EDB2D">
      <w:pPr>
        <w:pStyle w:val="26"/>
        <w:shd w:val="clear"/>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招标人/代理机构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69FD60B4">
      <w:pPr>
        <w:pStyle w:val="26"/>
        <w:shd w:val="clear"/>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66F95C68">
      <w:pPr>
        <w:pStyle w:val="26"/>
        <w:shd w:val="clear"/>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30BDB2F0">
      <w:pPr>
        <w:pStyle w:val="26"/>
        <w:shd w:val="clear"/>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696FA3A">
      <w:pPr>
        <w:pStyle w:val="26"/>
        <w:shd w:val="clear"/>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6387772D">
      <w:pPr>
        <w:pStyle w:val="26"/>
        <w:shd w:val="clear"/>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266BCEE">
      <w:pPr>
        <w:pStyle w:val="26"/>
        <w:shd w:val="clear"/>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50024446">
      <w:pPr>
        <w:pStyle w:val="26"/>
        <w:shd w:val="clear"/>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6AA23DF3">
      <w:pPr>
        <w:pStyle w:val="26"/>
        <w:shd w:val="clear"/>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12445EDC">
      <w:pPr>
        <w:pStyle w:val="26"/>
        <w:shd w:val="clear"/>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4C228638">
      <w:pPr>
        <w:pStyle w:val="26"/>
        <w:shd w:val="clear"/>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1B25113D">
      <w:pPr>
        <w:pStyle w:val="26"/>
        <w:shd w:val="clear"/>
        <w:spacing w:line="360" w:lineRule="auto"/>
        <w:ind w:left="25" w:leftChars="12" w:firstLine="352" w:firstLineChars="147"/>
        <w:rPr>
          <w:rFonts w:hint="eastAsia" w:hAnsi="宋体"/>
          <w:color w:val="auto"/>
          <w:sz w:val="24"/>
          <w:szCs w:val="24"/>
          <w:highlight w:val="none"/>
        </w:rPr>
      </w:pPr>
    </w:p>
    <w:p w14:paraId="2DA76E81">
      <w:pPr>
        <w:pStyle w:val="26"/>
        <w:shd w:val="clear"/>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70C5B527">
      <w:pPr>
        <w:pStyle w:val="26"/>
        <w:shd w:val="clear"/>
        <w:spacing w:line="360" w:lineRule="auto"/>
        <w:ind w:left="25" w:leftChars="12" w:firstLine="352" w:firstLineChars="147"/>
        <w:rPr>
          <w:rFonts w:hint="eastAsia" w:hAnsi="宋体"/>
          <w:color w:val="auto"/>
          <w:sz w:val="24"/>
          <w:szCs w:val="24"/>
          <w:highlight w:val="none"/>
        </w:rPr>
      </w:pPr>
    </w:p>
    <w:p w14:paraId="67AB948F">
      <w:pPr>
        <w:pStyle w:val="26"/>
        <w:shd w:val="clear"/>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r>
        <w:rPr>
          <w:rFonts w:hint="eastAsia" w:hAnsi="宋体"/>
          <w:bCs/>
          <w:color w:val="auto"/>
          <w:sz w:val="24"/>
          <w:szCs w:val="24"/>
          <w:highlight w:val="none"/>
        </w:rPr>
        <w:t xml:space="preserve">                                                                        </w:t>
      </w:r>
    </w:p>
    <w:p w14:paraId="23730DC9">
      <w:pPr>
        <w:pStyle w:val="26"/>
        <w:shd w:val="clear"/>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7AF43AE9">
      <w:pPr>
        <w:pStyle w:val="26"/>
        <w:shd w:val="clear"/>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4901DE9C">
      <w:pPr>
        <w:pStyle w:val="26"/>
        <w:shd w:val="clear"/>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5B02B06">
      <w:pPr>
        <w:pStyle w:val="26"/>
        <w:shd w:val="clear"/>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16743DEA">
      <w:pPr>
        <w:pStyle w:val="26"/>
        <w:shd w:val="clear"/>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3C7281D2">
      <w:pPr>
        <w:pStyle w:val="26"/>
        <w:shd w:val="clear"/>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16EC49DE">
      <w:pPr>
        <w:pStyle w:val="26"/>
        <w:shd w:val="clear"/>
        <w:spacing w:line="360" w:lineRule="auto"/>
        <w:ind w:left="25" w:leftChars="12" w:firstLine="354" w:firstLineChars="147"/>
        <w:rPr>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sectPr>
      <w:headerReference r:id="rId9" w:type="default"/>
      <w:footerReference r:id="rId10" w:type="default"/>
      <w:footerReference r:id="rId11" w:type="even"/>
      <w:pgSz w:w="11906" w:h="16838"/>
      <w:pgMar w:top="1440" w:right="1797" w:bottom="1440" w:left="1797"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BE76A72-C643-44C5-A3D0-3501ED0BA22B}"/>
  </w:font>
  <w:font w:name="黑体">
    <w:panose1 w:val="02010609060101010101"/>
    <w:charset w:val="86"/>
    <w:family w:val="auto"/>
    <w:pitch w:val="default"/>
    <w:sig w:usb0="800002BF" w:usb1="38CF7CFA" w:usb2="00000016" w:usb3="00000000" w:csb0="00040001" w:csb1="00000000"/>
    <w:embedRegular r:id="rId2" w:fontKey="{352C57E1-F618-4235-AD38-4B4E919E28CE}"/>
  </w:font>
  <w:font w:name="Courier New">
    <w:panose1 w:val="02070309020205020404"/>
    <w:charset w:val="01"/>
    <w:family w:val="modern"/>
    <w:pitch w:val="default"/>
    <w:sig w:usb0="E0002EFF" w:usb1="C0007843" w:usb2="00000009" w:usb3="00000000" w:csb0="400001FF" w:csb1="FFFF0000"/>
    <w:embedRegular r:id="rId3" w:fontKey="{E8F3D463-87EF-4CB6-923F-756FE2E6745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4" w:fontKey="{66265024-B6EA-40AE-853E-AA155778F34D}"/>
  </w:font>
  <w:font w:name="仿宋_GB2312">
    <w:panose1 w:val="02010609030101010101"/>
    <w:charset w:val="86"/>
    <w:family w:val="modern"/>
    <w:pitch w:val="default"/>
    <w:sig w:usb0="00000001" w:usb1="080E0000" w:usb2="00000000" w:usb3="00000000" w:csb0="00040000" w:csb1="00000000"/>
    <w:embedRegular r:id="rId5" w:fontKey="{60AD4CF1-3A6A-4EF3-B4D1-1D7C1F968545}"/>
  </w:font>
  <w:font w:name="Cambria">
    <w:panose1 w:val="02040503050406030204"/>
    <w:charset w:val="00"/>
    <w:family w:val="roman"/>
    <w:pitch w:val="default"/>
    <w:sig w:usb0="E00006FF" w:usb1="420024FF" w:usb2="02000000" w:usb3="00000000" w:csb0="2000019F" w:csb1="00000000"/>
  </w:font>
  <w:font w:name="_x000B__x000C_">
    <w:altName w:val="yyb"/>
    <w:panose1 w:val="00000000000000000000"/>
    <w:charset w:val="00"/>
    <w:family w:val="roman"/>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Tahoma">
    <w:panose1 w:val="020B0604030504040204"/>
    <w:charset w:val="00"/>
    <w:family w:val="swiss"/>
    <w:pitch w:val="default"/>
    <w:sig w:usb0="E1002EFF" w:usb1="C000605B" w:usb2="00000029" w:usb3="00000000" w:csb0="200101FF" w:csb1="20280000"/>
  </w:font>
  <w:font w:name="Century">
    <w:panose1 w:val="02040604050505020304"/>
    <w:charset w:val="00"/>
    <w:family w:val="roman"/>
    <w:pitch w:val="default"/>
    <w:sig w:usb0="00000287" w:usb1="00000000" w:usb2="00000000" w:usb3="00000000" w:csb0="2000009F" w:csb1="DFD70000"/>
  </w:font>
  <w:font w:name="Arial Unicode MS">
    <w:panose1 w:val="020B0604020202020204"/>
    <w:charset w:val="86"/>
    <w:family w:val="roman"/>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embedRegular r:id="rId6" w:fontKey="{C5AEF57A-CAEA-486E-B3C4-2338A95873BD}"/>
  </w:font>
  <w:font w:name="隶书">
    <w:panose1 w:val="02010509060101010101"/>
    <w:charset w:val="86"/>
    <w:family w:val="modern"/>
    <w:pitch w:val="default"/>
    <w:sig w:usb0="00000001" w:usb1="080E0000" w:usb2="00000000" w:usb3="00000000" w:csb0="00040000" w:csb1="00000000"/>
    <w:embedRegular r:id="rId7" w:fontKey="{E7219EC9-9AD0-409D-BB40-47439793C867}"/>
  </w:font>
  <w:font w:name="WPSEMBED2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36CAC">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DEF47">
    <w:pPr>
      <w:widowControl w:val="0"/>
      <w:tabs>
        <w:tab w:val="center" w:pos="4861"/>
      </w:tabs>
      <w:snapToGrid w:val="0"/>
      <w:jc w:val="left"/>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A9F64">
                          <w:pPr>
                            <w:pStyle w:val="3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B5A9F64">
                    <w:pPr>
                      <w:pStyle w:val="32"/>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cs="Times New Roman"/>
        <w:kern w:val="2"/>
        <w:sz w:val="18"/>
        <w:szCs w:val="18"/>
        <w:lang w:val="en-US" w:eastAsia="zh-CN" w:bidi="ar-S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62A76">
    <w:pPr>
      <w:pStyle w:val="3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AD99F">
                          <w:pPr>
                            <w:pStyle w:val="32"/>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FAD99F">
                    <w:pPr>
                      <w:pStyle w:val="32"/>
                    </w:pPr>
                    <w:r>
                      <w:fldChar w:fldCharType="begin"/>
                    </w:r>
                    <w:r>
                      <w:instrText xml:space="preserve"> PAGE  \* MERGEFORMAT </w:instrText>
                    </w:r>
                    <w:r>
                      <w:fldChar w:fldCharType="separate"/>
                    </w:r>
                    <w:r>
                      <w:t>15</w:t>
                    </w:r>
                    <w:r>
                      <w:fldChar w:fldCharType="end"/>
                    </w:r>
                  </w:p>
                </w:txbxContent>
              </v:textbox>
            </v:shape>
          </w:pict>
        </mc:Fallback>
      </mc:AlternateContent>
    </w:r>
  </w:p>
  <w:p w14:paraId="00E4803A">
    <w:pPr>
      <w:pStyle w:val="3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BC60B">
    <w:pPr>
      <w:pStyle w:val="3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878128">
                          <w:pPr>
                            <w:pStyle w:val="32"/>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6878128">
                    <w:pPr>
                      <w:pStyle w:val="32"/>
                    </w:pPr>
                    <w:r>
                      <w:fldChar w:fldCharType="begin"/>
                    </w:r>
                    <w:r>
                      <w:instrText xml:space="preserve"> PAGE  \* MERGEFORMAT </w:instrText>
                    </w:r>
                    <w:r>
                      <w:fldChar w:fldCharType="separate"/>
                    </w:r>
                    <w:r>
                      <w:t>84</w:t>
                    </w:r>
                    <w:r>
                      <w:fldChar w:fldCharType="end"/>
                    </w:r>
                  </w:p>
                </w:txbxContent>
              </v:textbox>
            </v:shape>
          </w:pict>
        </mc:Fallback>
      </mc:AlternateContent>
    </w:r>
  </w:p>
  <w:p w14:paraId="13DA08E0">
    <w:pPr>
      <w:pStyle w:val="3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8686E">
    <w:pPr>
      <w:pStyle w:val="32"/>
      <w:framePr w:wrap="around" w:vAnchor="text" w:hAnchor="margin" w:xAlign="center" w:y="1"/>
      <w:rPr>
        <w:rStyle w:val="53"/>
      </w:rPr>
    </w:pPr>
    <w:r>
      <w:fldChar w:fldCharType="begin"/>
    </w:r>
    <w:r>
      <w:rPr>
        <w:rStyle w:val="53"/>
      </w:rPr>
      <w:instrText xml:space="preserve">PAGE  </w:instrText>
    </w:r>
    <w:r>
      <w:fldChar w:fldCharType="end"/>
    </w:r>
  </w:p>
  <w:p w14:paraId="0481AC5B">
    <w:pPr>
      <w:pStyle w:val="3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2D67E">
    <w:pPr>
      <w:pStyle w:val="3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6AE72">
    <w:pPr>
      <w:widowControl w:val="0"/>
      <w:pBdr>
        <w:bottom w:val="none" w:color="auto" w:sz="0" w:space="1"/>
      </w:pBdr>
      <w:snapToGrid w:val="0"/>
      <w:jc w:val="both"/>
      <w:rPr>
        <w:rFonts w:ascii="Times New Roman" w:hAnsi="Times New Roman" w:eastAsia="宋体" w:cs="Times New Roman"/>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A4771">
    <w:pPr>
      <w:pStyle w:val="33"/>
      <w:pBdr>
        <w:bottom w:val="none" w:color="auto" w:sz="0" w:space="1"/>
      </w:pBdr>
      <w:tabs>
        <w:tab w:val="center" w:pos="4153"/>
        <w:tab w:val="right" w:pos="8306"/>
        <w:tab w:val="clear" w:pos="0"/>
      </w:tabs>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84345">
    <w:pPr>
      <w:pStyle w:val="3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5A5E63"/>
    <w:multiLevelType w:val="singleLevel"/>
    <w:tmpl w:val="815A5E63"/>
    <w:lvl w:ilvl="0" w:tentative="0">
      <w:start w:val="2"/>
      <w:numFmt w:val="decimal"/>
      <w:suff w:val="space"/>
      <w:lvlText w:val="%1."/>
      <w:lvlJc w:val="left"/>
    </w:lvl>
  </w:abstractNum>
  <w:abstractNum w:abstractNumId="1">
    <w:nsid w:val="95F1D4E6"/>
    <w:multiLevelType w:val="singleLevel"/>
    <w:tmpl w:val="95F1D4E6"/>
    <w:lvl w:ilvl="0" w:tentative="0">
      <w:start w:val="1"/>
      <w:numFmt w:val="decimal"/>
      <w:suff w:val="nothing"/>
      <w:lvlText w:val="（%1）"/>
      <w:lvlJc w:val="left"/>
    </w:lvl>
  </w:abstractNum>
  <w:abstractNum w:abstractNumId="2">
    <w:nsid w:val="00000001"/>
    <w:multiLevelType w:val="singleLevel"/>
    <w:tmpl w:val="00000001"/>
    <w:lvl w:ilvl="0" w:tentative="0">
      <w:start w:val="1"/>
      <w:numFmt w:val="decimal"/>
      <w:pStyle w:val="21"/>
      <w:lvlText w:val="%1."/>
      <w:lvlJc w:val="left"/>
      <w:pPr>
        <w:tabs>
          <w:tab w:val="left" w:pos="1200"/>
        </w:tabs>
        <w:ind w:left="1200" w:hanging="360"/>
      </w:pPr>
    </w:lvl>
  </w:abstractNum>
  <w:abstractNum w:abstractNumId="3">
    <w:nsid w:val="00000002"/>
    <w:multiLevelType w:val="multilevel"/>
    <w:tmpl w:val="00000002"/>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4">
    <w:nsid w:val="00000003"/>
    <w:multiLevelType w:val="multilevel"/>
    <w:tmpl w:val="00000003"/>
    <w:lvl w:ilvl="0" w:tentative="0">
      <w:start w:val="1"/>
      <w:numFmt w:val="decimal"/>
      <w:lvlText w:val="%1."/>
      <w:lvlJc w:val="left"/>
      <w:pPr>
        <w:ind w:left="773" w:hanging="360"/>
      </w:pPr>
      <w:rPr>
        <w:rFonts w:hint="default"/>
        <w:b/>
        <w:sz w:val="24"/>
        <w:szCs w:val="24"/>
      </w:r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abstractNum w:abstractNumId="5">
    <w:nsid w:val="00000004"/>
    <w:multiLevelType w:val="singleLevel"/>
    <w:tmpl w:val="00000004"/>
    <w:lvl w:ilvl="0" w:tentative="0">
      <w:start w:val="1"/>
      <w:numFmt w:val="decimal"/>
      <w:suff w:val="nothing"/>
      <w:lvlText w:val="（%1）"/>
      <w:lvlJc w:val="left"/>
      <w:pPr>
        <w:ind w:left="-2"/>
      </w:pPr>
    </w:lvl>
  </w:abstractNum>
  <w:abstractNum w:abstractNumId="6">
    <w:nsid w:val="00000005"/>
    <w:multiLevelType w:val="singleLevel"/>
    <w:tmpl w:val="00000005"/>
    <w:lvl w:ilvl="0" w:tentative="0">
      <w:start w:val="1"/>
      <w:numFmt w:val="decimal"/>
      <w:suff w:val="nothing"/>
      <w:lvlText w:val="（%1）"/>
      <w:lvlJc w:val="left"/>
    </w:lvl>
  </w:abstractNum>
  <w:abstractNum w:abstractNumId="7">
    <w:nsid w:val="00000006"/>
    <w:multiLevelType w:val="multilevel"/>
    <w:tmpl w:val="00000006"/>
    <w:lvl w:ilvl="0" w:tentative="0">
      <w:start w:val="1"/>
      <w:numFmt w:val="decimal"/>
      <w:lvlText w:val="%1."/>
      <w:lvlJc w:val="left"/>
      <w:pPr>
        <w:ind w:left="840" w:hanging="420"/>
      </w:pPr>
      <w:rPr>
        <w:rFonts w:hint="default"/>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00000007"/>
    <w:multiLevelType w:val="multilevel"/>
    <w:tmpl w:val="00000007"/>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9">
    <w:nsid w:val="09FE0E7A"/>
    <w:multiLevelType w:val="singleLevel"/>
    <w:tmpl w:val="09FE0E7A"/>
    <w:lvl w:ilvl="0" w:tentative="0">
      <w:start w:val="13"/>
      <w:numFmt w:val="decimal"/>
      <w:suff w:val="nothing"/>
      <w:lvlText w:val="（%1）"/>
      <w:lvlJc w:val="left"/>
    </w:lvl>
  </w:abstractNum>
  <w:abstractNum w:abstractNumId="10">
    <w:nsid w:val="0F44E603"/>
    <w:multiLevelType w:val="singleLevel"/>
    <w:tmpl w:val="0F44E603"/>
    <w:lvl w:ilvl="0" w:tentative="0">
      <w:start w:val="3"/>
      <w:numFmt w:val="chineseCounting"/>
      <w:suff w:val="space"/>
      <w:lvlText w:val="第%1条"/>
      <w:lvlJc w:val="left"/>
      <w:rPr>
        <w:rFonts w:hint="eastAsia"/>
      </w:rPr>
    </w:lvl>
  </w:abstractNum>
  <w:abstractNum w:abstractNumId="11">
    <w:nsid w:val="6524C6A6"/>
    <w:multiLevelType w:val="singleLevel"/>
    <w:tmpl w:val="6524C6A6"/>
    <w:lvl w:ilvl="0" w:tentative="0">
      <w:start w:val="1"/>
      <w:numFmt w:val="decimal"/>
      <w:suff w:val="nothing"/>
      <w:lvlText w:val="%1．"/>
      <w:lvlJc w:val="left"/>
      <w:pPr>
        <w:ind w:left="0" w:firstLine="400"/>
      </w:pPr>
      <w:rPr>
        <w:rFonts w:hint="default"/>
      </w:rPr>
    </w:lvl>
  </w:abstractNum>
  <w:abstractNum w:abstractNumId="12">
    <w:nsid w:val="68CD312C"/>
    <w:multiLevelType w:val="singleLevel"/>
    <w:tmpl w:val="68CD312C"/>
    <w:lvl w:ilvl="0" w:tentative="0">
      <w:start w:val="1"/>
      <w:numFmt w:val="decimal"/>
      <w:suff w:val="nothing"/>
      <w:lvlText w:val="%1．"/>
      <w:lvlJc w:val="left"/>
      <w:pPr>
        <w:ind w:left="0" w:firstLine="400"/>
      </w:pPr>
      <w:rPr>
        <w:rFonts w:hint="default"/>
      </w:rPr>
    </w:lvl>
  </w:abstractNum>
  <w:num w:numId="1">
    <w:abstractNumId w:val="3"/>
  </w:num>
  <w:num w:numId="2">
    <w:abstractNumId w:val="2"/>
  </w:num>
  <w:num w:numId="3">
    <w:abstractNumId w:val="9"/>
  </w:num>
  <w:num w:numId="4">
    <w:abstractNumId w:val="7"/>
  </w:num>
  <w:num w:numId="5">
    <w:abstractNumId w:val="4"/>
  </w:num>
  <w:num w:numId="6">
    <w:abstractNumId w:val="5"/>
  </w:num>
  <w:num w:numId="7">
    <w:abstractNumId w:val="6"/>
  </w:num>
  <w:num w:numId="8">
    <w:abstractNumId w:val="1"/>
  </w:num>
  <w:num w:numId="9">
    <w:abstractNumId w:val="0"/>
  </w:num>
  <w:num w:numId="10">
    <w:abstractNumId w:val="10"/>
  </w:num>
  <w:num w:numId="11">
    <w:abstractNumId w:val="12"/>
  </w:num>
  <w:num w:numId="12">
    <w:abstractNumId w:val="11"/>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3ZjBkOWVjOGZhMWZiNTU3NjA3MGEzMjZlNjU1YTMifQ=="/>
  </w:docVars>
  <w:rsids>
    <w:rsidRoot w:val="00F661C1"/>
    <w:rsid w:val="00147607"/>
    <w:rsid w:val="001C3050"/>
    <w:rsid w:val="004F0488"/>
    <w:rsid w:val="007149E0"/>
    <w:rsid w:val="007A1658"/>
    <w:rsid w:val="007D6A53"/>
    <w:rsid w:val="0082440F"/>
    <w:rsid w:val="008E27B6"/>
    <w:rsid w:val="00964561"/>
    <w:rsid w:val="009B372B"/>
    <w:rsid w:val="009D404E"/>
    <w:rsid w:val="00B52711"/>
    <w:rsid w:val="00BD5CB1"/>
    <w:rsid w:val="00BE7797"/>
    <w:rsid w:val="00BF706B"/>
    <w:rsid w:val="00C2409C"/>
    <w:rsid w:val="00EE0B8C"/>
    <w:rsid w:val="00F146C0"/>
    <w:rsid w:val="00F2631A"/>
    <w:rsid w:val="00F661C1"/>
    <w:rsid w:val="010827C0"/>
    <w:rsid w:val="010A478A"/>
    <w:rsid w:val="01282E62"/>
    <w:rsid w:val="01653BA4"/>
    <w:rsid w:val="016A347B"/>
    <w:rsid w:val="017D4F5C"/>
    <w:rsid w:val="018D0F17"/>
    <w:rsid w:val="01935267"/>
    <w:rsid w:val="01A3073B"/>
    <w:rsid w:val="01AD5116"/>
    <w:rsid w:val="01B82438"/>
    <w:rsid w:val="01D54D98"/>
    <w:rsid w:val="02060AF3"/>
    <w:rsid w:val="02460A37"/>
    <w:rsid w:val="025147E0"/>
    <w:rsid w:val="02663C42"/>
    <w:rsid w:val="028265A2"/>
    <w:rsid w:val="029244B0"/>
    <w:rsid w:val="02CE73CA"/>
    <w:rsid w:val="033013C2"/>
    <w:rsid w:val="034026E5"/>
    <w:rsid w:val="035D3297"/>
    <w:rsid w:val="039D6C50"/>
    <w:rsid w:val="03B9564D"/>
    <w:rsid w:val="03D16FFC"/>
    <w:rsid w:val="040F20B8"/>
    <w:rsid w:val="04101946"/>
    <w:rsid w:val="041C403F"/>
    <w:rsid w:val="04555532"/>
    <w:rsid w:val="049416D6"/>
    <w:rsid w:val="049A5665"/>
    <w:rsid w:val="04A722F0"/>
    <w:rsid w:val="04DF5DFC"/>
    <w:rsid w:val="04FA7A94"/>
    <w:rsid w:val="057B5C57"/>
    <w:rsid w:val="05832D5D"/>
    <w:rsid w:val="05BC1DCB"/>
    <w:rsid w:val="05C14567"/>
    <w:rsid w:val="05D11D1B"/>
    <w:rsid w:val="06161CFA"/>
    <w:rsid w:val="061B2F96"/>
    <w:rsid w:val="063D4CBA"/>
    <w:rsid w:val="06514C09"/>
    <w:rsid w:val="06521064"/>
    <w:rsid w:val="069A095C"/>
    <w:rsid w:val="06CC00DC"/>
    <w:rsid w:val="0701218C"/>
    <w:rsid w:val="071C5217"/>
    <w:rsid w:val="073A569E"/>
    <w:rsid w:val="07614372"/>
    <w:rsid w:val="077961C6"/>
    <w:rsid w:val="0783425A"/>
    <w:rsid w:val="07AE458E"/>
    <w:rsid w:val="07EA70C4"/>
    <w:rsid w:val="07FA38AB"/>
    <w:rsid w:val="08024FA9"/>
    <w:rsid w:val="082103F0"/>
    <w:rsid w:val="082C4FE6"/>
    <w:rsid w:val="087F780C"/>
    <w:rsid w:val="08BD6586"/>
    <w:rsid w:val="08DF3F4A"/>
    <w:rsid w:val="093949E1"/>
    <w:rsid w:val="095A2027"/>
    <w:rsid w:val="095F28AF"/>
    <w:rsid w:val="09615163"/>
    <w:rsid w:val="096B1B3E"/>
    <w:rsid w:val="0972111F"/>
    <w:rsid w:val="09842C00"/>
    <w:rsid w:val="09A82EAD"/>
    <w:rsid w:val="09C7694E"/>
    <w:rsid w:val="09F064E7"/>
    <w:rsid w:val="09FC2281"/>
    <w:rsid w:val="0A4C0D82"/>
    <w:rsid w:val="0A89367C"/>
    <w:rsid w:val="0ADD188A"/>
    <w:rsid w:val="0B1C1FC9"/>
    <w:rsid w:val="0B631FB2"/>
    <w:rsid w:val="0B8D0BBC"/>
    <w:rsid w:val="0B9269C8"/>
    <w:rsid w:val="0BB90039"/>
    <w:rsid w:val="0BDE6F3F"/>
    <w:rsid w:val="0C05627A"/>
    <w:rsid w:val="0C1741FF"/>
    <w:rsid w:val="0C474AE5"/>
    <w:rsid w:val="0C7D22B4"/>
    <w:rsid w:val="0D30727B"/>
    <w:rsid w:val="0D417786"/>
    <w:rsid w:val="0D831EAF"/>
    <w:rsid w:val="0DD71DC1"/>
    <w:rsid w:val="0DD85B01"/>
    <w:rsid w:val="0DE46F59"/>
    <w:rsid w:val="0E0F1EC2"/>
    <w:rsid w:val="0E211365"/>
    <w:rsid w:val="0E230C39"/>
    <w:rsid w:val="0E7D2A40"/>
    <w:rsid w:val="0E8536A2"/>
    <w:rsid w:val="0E8A0CB9"/>
    <w:rsid w:val="0EA85B49"/>
    <w:rsid w:val="0EAF6971"/>
    <w:rsid w:val="0EBB2366"/>
    <w:rsid w:val="0EC248F6"/>
    <w:rsid w:val="0F166D2F"/>
    <w:rsid w:val="0F19521C"/>
    <w:rsid w:val="0F1D7D7F"/>
    <w:rsid w:val="0F95411B"/>
    <w:rsid w:val="0F974484"/>
    <w:rsid w:val="0FA43FFC"/>
    <w:rsid w:val="0FDF6DE2"/>
    <w:rsid w:val="0FE35A61"/>
    <w:rsid w:val="0FF1580F"/>
    <w:rsid w:val="100E1475"/>
    <w:rsid w:val="1035357B"/>
    <w:rsid w:val="10703EDE"/>
    <w:rsid w:val="108160EB"/>
    <w:rsid w:val="109D7E9E"/>
    <w:rsid w:val="10AF2C58"/>
    <w:rsid w:val="10B90B06"/>
    <w:rsid w:val="10E70644"/>
    <w:rsid w:val="10F1501F"/>
    <w:rsid w:val="112076B2"/>
    <w:rsid w:val="114943D9"/>
    <w:rsid w:val="11623B75"/>
    <w:rsid w:val="116F23E8"/>
    <w:rsid w:val="11FE3E97"/>
    <w:rsid w:val="121B6D9D"/>
    <w:rsid w:val="12437AFC"/>
    <w:rsid w:val="126176A8"/>
    <w:rsid w:val="129245E0"/>
    <w:rsid w:val="129C355F"/>
    <w:rsid w:val="12A47F40"/>
    <w:rsid w:val="12AE0BAA"/>
    <w:rsid w:val="12C65BDC"/>
    <w:rsid w:val="12CD4577"/>
    <w:rsid w:val="13027D69"/>
    <w:rsid w:val="136E60E8"/>
    <w:rsid w:val="1374532A"/>
    <w:rsid w:val="137B1518"/>
    <w:rsid w:val="138071AD"/>
    <w:rsid w:val="13946135"/>
    <w:rsid w:val="13963C5C"/>
    <w:rsid w:val="13D942F9"/>
    <w:rsid w:val="13DE2CAA"/>
    <w:rsid w:val="13F721F4"/>
    <w:rsid w:val="13FC61B5"/>
    <w:rsid w:val="14180B15"/>
    <w:rsid w:val="143A0359"/>
    <w:rsid w:val="147E4E1C"/>
    <w:rsid w:val="148F2A6F"/>
    <w:rsid w:val="15035B92"/>
    <w:rsid w:val="15550610"/>
    <w:rsid w:val="15897F1C"/>
    <w:rsid w:val="15C3681A"/>
    <w:rsid w:val="15C90318"/>
    <w:rsid w:val="15F630D7"/>
    <w:rsid w:val="16032083"/>
    <w:rsid w:val="165506D7"/>
    <w:rsid w:val="16551BAC"/>
    <w:rsid w:val="16731C0F"/>
    <w:rsid w:val="1687197C"/>
    <w:rsid w:val="16892F43"/>
    <w:rsid w:val="16A73E3E"/>
    <w:rsid w:val="16AE3DFA"/>
    <w:rsid w:val="16C15493"/>
    <w:rsid w:val="16CE50F1"/>
    <w:rsid w:val="16ED6288"/>
    <w:rsid w:val="17081314"/>
    <w:rsid w:val="172123C6"/>
    <w:rsid w:val="173B6FF4"/>
    <w:rsid w:val="17BE7C25"/>
    <w:rsid w:val="17D72165"/>
    <w:rsid w:val="17E85CA9"/>
    <w:rsid w:val="17FF44C5"/>
    <w:rsid w:val="18137F71"/>
    <w:rsid w:val="18245CDA"/>
    <w:rsid w:val="182B62BF"/>
    <w:rsid w:val="18767CB3"/>
    <w:rsid w:val="18BB3D03"/>
    <w:rsid w:val="18BE4867"/>
    <w:rsid w:val="18CA565E"/>
    <w:rsid w:val="18E07C38"/>
    <w:rsid w:val="18E56F4A"/>
    <w:rsid w:val="18F94196"/>
    <w:rsid w:val="19072D07"/>
    <w:rsid w:val="19510D51"/>
    <w:rsid w:val="19670574"/>
    <w:rsid w:val="19B25567"/>
    <w:rsid w:val="19F47A5C"/>
    <w:rsid w:val="19FA13E8"/>
    <w:rsid w:val="1A014424"/>
    <w:rsid w:val="1A0E6C42"/>
    <w:rsid w:val="1A4F5793"/>
    <w:rsid w:val="1A756CC1"/>
    <w:rsid w:val="1A78055F"/>
    <w:rsid w:val="1A7D3DC7"/>
    <w:rsid w:val="1A7F26BB"/>
    <w:rsid w:val="1A836BAF"/>
    <w:rsid w:val="1AA2738A"/>
    <w:rsid w:val="1AC15A62"/>
    <w:rsid w:val="1ACC10AF"/>
    <w:rsid w:val="1AED2809"/>
    <w:rsid w:val="1AF000F5"/>
    <w:rsid w:val="1AF27D3A"/>
    <w:rsid w:val="1B00259C"/>
    <w:rsid w:val="1B0F04B4"/>
    <w:rsid w:val="1B2C36B7"/>
    <w:rsid w:val="1B446693"/>
    <w:rsid w:val="1B4E306E"/>
    <w:rsid w:val="1BAB226E"/>
    <w:rsid w:val="1BFC00FA"/>
    <w:rsid w:val="1C1055B6"/>
    <w:rsid w:val="1C5F3784"/>
    <w:rsid w:val="1C74320F"/>
    <w:rsid w:val="1CCC06EE"/>
    <w:rsid w:val="1CD203FA"/>
    <w:rsid w:val="1D1F35E6"/>
    <w:rsid w:val="1D5A5D2F"/>
    <w:rsid w:val="1D8D0DDC"/>
    <w:rsid w:val="1D9F5DE8"/>
    <w:rsid w:val="1DAC66AD"/>
    <w:rsid w:val="1DC85359"/>
    <w:rsid w:val="1EB37DB8"/>
    <w:rsid w:val="1F730872"/>
    <w:rsid w:val="1FBA2693"/>
    <w:rsid w:val="1FD224BF"/>
    <w:rsid w:val="1FF02946"/>
    <w:rsid w:val="1FF24910"/>
    <w:rsid w:val="20216FA3"/>
    <w:rsid w:val="2031368A"/>
    <w:rsid w:val="204A02A8"/>
    <w:rsid w:val="204C2272"/>
    <w:rsid w:val="205175E8"/>
    <w:rsid w:val="2063580D"/>
    <w:rsid w:val="209E23A2"/>
    <w:rsid w:val="20A06C94"/>
    <w:rsid w:val="20C462AC"/>
    <w:rsid w:val="213A237E"/>
    <w:rsid w:val="214D44F3"/>
    <w:rsid w:val="21635AC5"/>
    <w:rsid w:val="216925DC"/>
    <w:rsid w:val="21696237"/>
    <w:rsid w:val="217A134E"/>
    <w:rsid w:val="21823FBB"/>
    <w:rsid w:val="21B93937"/>
    <w:rsid w:val="21BA145D"/>
    <w:rsid w:val="21BA76AF"/>
    <w:rsid w:val="221E19EC"/>
    <w:rsid w:val="22207D00"/>
    <w:rsid w:val="226714C6"/>
    <w:rsid w:val="22980812"/>
    <w:rsid w:val="22C24A6D"/>
    <w:rsid w:val="22FD7853"/>
    <w:rsid w:val="232C7967"/>
    <w:rsid w:val="235B27CC"/>
    <w:rsid w:val="2393640A"/>
    <w:rsid w:val="239A32F4"/>
    <w:rsid w:val="23C87E61"/>
    <w:rsid w:val="23ED46EB"/>
    <w:rsid w:val="24681644"/>
    <w:rsid w:val="249C309C"/>
    <w:rsid w:val="24A85EE5"/>
    <w:rsid w:val="24DB0068"/>
    <w:rsid w:val="24F4487F"/>
    <w:rsid w:val="25083B99"/>
    <w:rsid w:val="250D7AF6"/>
    <w:rsid w:val="259D45F6"/>
    <w:rsid w:val="25F760D4"/>
    <w:rsid w:val="25FC3DF2"/>
    <w:rsid w:val="260D5FFF"/>
    <w:rsid w:val="26213859"/>
    <w:rsid w:val="263549A0"/>
    <w:rsid w:val="26431A21"/>
    <w:rsid w:val="264A1001"/>
    <w:rsid w:val="264D16FF"/>
    <w:rsid w:val="26574371"/>
    <w:rsid w:val="2664226B"/>
    <w:rsid w:val="267E6EFD"/>
    <w:rsid w:val="26AC3A01"/>
    <w:rsid w:val="26AD1590"/>
    <w:rsid w:val="26AF355A"/>
    <w:rsid w:val="26F70A5D"/>
    <w:rsid w:val="26FF00CE"/>
    <w:rsid w:val="271908AD"/>
    <w:rsid w:val="27221F7E"/>
    <w:rsid w:val="27286E69"/>
    <w:rsid w:val="276C31F9"/>
    <w:rsid w:val="277B51EB"/>
    <w:rsid w:val="27802801"/>
    <w:rsid w:val="278F70E9"/>
    <w:rsid w:val="2818185A"/>
    <w:rsid w:val="28235FAE"/>
    <w:rsid w:val="28360999"/>
    <w:rsid w:val="28942A08"/>
    <w:rsid w:val="28A31E0C"/>
    <w:rsid w:val="28B234A6"/>
    <w:rsid w:val="292C49EE"/>
    <w:rsid w:val="29325D7D"/>
    <w:rsid w:val="29441486"/>
    <w:rsid w:val="2946173F"/>
    <w:rsid w:val="29CA4207"/>
    <w:rsid w:val="29EB56E3"/>
    <w:rsid w:val="29F23E8A"/>
    <w:rsid w:val="2A0E2346"/>
    <w:rsid w:val="2A0F6605"/>
    <w:rsid w:val="2A1611F4"/>
    <w:rsid w:val="2A6603D4"/>
    <w:rsid w:val="2A756869"/>
    <w:rsid w:val="2AC423B6"/>
    <w:rsid w:val="2AE00186"/>
    <w:rsid w:val="2AF93B6E"/>
    <w:rsid w:val="2B1E0CAF"/>
    <w:rsid w:val="2B2A6FCF"/>
    <w:rsid w:val="2B2B7818"/>
    <w:rsid w:val="2B347667"/>
    <w:rsid w:val="2B434271"/>
    <w:rsid w:val="2B525D59"/>
    <w:rsid w:val="2B5C72CD"/>
    <w:rsid w:val="2BDB6319"/>
    <w:rsid w:val="2BDD0222"/>
    <w:rsid w:val="2BDF2C42"/>
    <w:rsid w:val="2C003E93"/>
    <w:rsid w:val="2C1856FE"/>
    <w:rsid w:val="2C2440A3"/>
    <w:rsid w:val="2C581F9E"/>
    <w:rsid w:val="2C66290D"/>
    <w:rsid w:val="2C9C5044"/>
    <w:rsid w:val="2CA156F3"/>
    <w:rsid w:val="2CBF7AF5"/>
    <w:rsid w:val="2D1063D5"/>
    <w:rsid w:val="2D5F5838"/>
    <w:rsid w:val="2D8A262B"/>
    <w:rsid w:val="2D915768"/>
    <w:rsid w:val="2DCC054E"/>
    <w:rsid w:val="2E19750B"/>
    <w:rsid w:val="2E661898"/>
    <w:rsid w:val="2EDB1DF2"/>
    <w:rsid w:val="2EF4226E"/>
    <w:rsid w:val="2EF73CF0"/>
    <w:rsid w:val="2EF90FB8"/>
    <w:rsid w:val="2F546A4D"/>
    <w:rsid w:val="2F803CE6"/>
    <w:rsid w:val="2F966D06"/>
    <w:rsid w:val="30071D11"/>
    <w:rsid w:val="30075F8F"/>
    <w:rsid w:val="300A35B0"/>
    <w:rsid w:val="301802E7"/>
    <w:rsid w:val="30330FAB"/>
    <w:rsid w:val="30801D29"/>
    <w:rsid w:val="309773E9"/>
    <w:rsid w:val="30E57CC9"/>
    <w:rsid w:val="30E81B43"/>
    <w:rsid w:val="30FD3114"/>
    <w:rsid w:val="315D63EE"/>
    <w:rsid w:val="316F4012"/>
    <w:rsid w:val="31772EC7"/>
    <w:rsid w:val="318B24CE"/>
    <w:rsid w:val="319B05F0"/>
    <w:rsid w:val="31AF0399"/>
    <w:rsid w:val="322E5C7B"/>
    <w:rsid w:val="322F6A75"/>
    <w:rsid w:val="32477A6F"/>
    <w:rsid w:val="32891103"/>
    <w:rsid w:val="32894BFE"/>
    <w:rsid w:val="329A50BF"/>
    <w:rsid w:val="32DA54BB"/>
    <w:rsid w:val="32FA5275"/>
    <w:rsid w:val="33143754"/>
    <w:rsid w:val="331A1D5C"/>
    <w:rsid w:val="333D3C9C"/>
    <w:rsid w:val="335079DD"/>
    <w:rsid w:val="3355548A"/>
    <w:rsid w:val="33584A7B"/>
    <w:rsid w:val="339113D2"/>
    <w:rsid w:val="3394288F"/>
    <w:rsid w:val="33A31D51"/>
    <w:rsid w:val="33BC2E13"/>
    <w:rsid w:val="33F00115"/>
    <w:rsid w:val="341A3311"/>
    <w:rsid w:val="341B3359"/>
    <w:rsid w:val="342015F4"/>
    <w:rsid w:val="342310E4"/>
    <w:rsid w:val="342866FA"/>
    <w:rsid w:val="342D2A69"/>
    <w:rsid w:val="346A5F5D"/>
    <w:rsid w:val="349124F1"/>
    <w:rsid w:val="34E74409"/>
    <w:rsid w:val="34F605A6"/>
    <w:rsid w:val="3504227F"/>
    <w:rsid w:val="351333BE"/>
    <w:rsid w:val="351F18AB"/>
    <w:rsid w:val="35472BB0"/>
    <w:rsid w:val="355E7321"/>
    <w:rsid w:val="356179FF"/>
    <w:rsid w:val="357A0DCF"/>
    <w:rsid w:val="357C0FD1"/>
    <w:rsid w:val="36064819"/>
    <w:rsid w:val="361C5DEB"/>
    <w:rsid w:val="36242262"/>
    <w:rsid w:val="362C24D2"/>
    <w:rsid w:val="3652180C"/>
    <w:rsid w:val="3679148F"/>
    <w:rsid w:val="36C46BAE"/>
    <w:rsid w:val="37070849"/>
    <w:rsid w:val="376A110E"/>
    <w:rsid w:val="378325C5"/>
    <w:rsid w:val="378E0BC4"/>
    <w:rsid w:val="380354B4"/>
    <w:rsid w:val="38651CCB"/>
    <w:rsid w:val="387D67AD"/>
    <w:rsid w:val="38A75432"/>
    <w:rsid w:val="38AF3C49"/>
    <w:rsid w:val="38BF0878"/>
    <w:rsid w:val="38EC419A"/>
    <w:rsid w:val="38F31085"/>
    <w:rsid w:val="390A7A50"/>
    <w:rsid w:val="3930540D"/>
    <w:rsid w:val="3942200C"/>
    <w:rsid w:val="39684E04"/>
    <w:rsid w:val="3986014B"/>
    <w:rsid w:val="399C171C"/>
    <w:rsid w:val="39A21D90"/>
    <w:rsid w:val="39C3314D"/>
    <w:rsid w:val="39C4425A"/>
    <w:rsid w:val="39E32C62"/>
    <w:rsid w:val="39FC665F"/>
    <w:rsid w:val="39FE4185"/>
    <w:rsid w:val="3A46632C"/>
    <w:rsid w:val="3ABE3C74"/>
    <w:rsid w:val="3AC058DE"/>
    <w:rsid w:val="3AD153F6"/>
    <w:rsid w:val="3ADE7B13"/>
    <w:rsid w:val="3AEE41FA"/>
    <w:rsid w:val="3AEF3ACE"/>
    <w:rsid w:val="3B9D0057"/>
    <w:rsid w:val="3BBA2C5F"/>
    <w:rsid w:val="3BDF1D94"/>
    <w:rsid w:val="3BF35840"/>
    <w:rsid w:val="3C0C4260"/>
    <w:rsid w:val="3C1275F2"/>
    <w:rsid w:val="3C324769"/>
    <w:rsid w:val="3C3E0B03"/>
    <w:rsid w:val="3C7B7C7B"/>
    <w:rsid w:val="3CB72D11"/>
    <w:rsid w:val="3CC06026"/>
    <w:rsid w:val="3CC332C4"/>
    <w:rsid w:val="3CC80D5D"/>
    <w:rsid w:val="3D9170BE"/>
    <w:rsid w:val="3DBB4A5C"/>
    <w:rsid w:val="3DBF3CCF"/>
    <w:rsid w:val="3DCC6348"/>
    <w:rsid w:val="3DEA115A"/>
    <w:rsid w:val="3DF437CE"/>
    <w:rsid w:val="3DF67340"/>
    <w:rsid w:val="3E0D3DDD"/>
    <w:rsid w:val="3E181BEC"/>
    <w:rsid w:val="3E665720"/>
    <w:rsid w:val="3EB412B6"/>
    <w:rsid w:val="3EB92870"/>
    <w:rsid w:val="3EEF0540"/>
    <w:rsid w:val="3F1E7077"/>
    <w:rsid w:val="3F201085"/>
    <w:rsid w:val="3F2F4DE1"/>
    <w:rsid w:val="3F9D1D4A"/>
    <w:rsid w:val="3FCF7B88"/>
    <w:rsid w:val="3FF51B86"/>
    <w:rsid w:val="40242B4C"/>
    <w:rsid w:val="40556AC9"/>
    <w:rsid w:val="406014FC"/>
    <w:rsid w:val="409234D4"/>
    <w:rsid w:val="40B7360A"/>
    <w:rsid w:val="40DE4D0F"/>
    <w:rsid w:val="40FB651D"/>
    <w:rsid w:val="41155C5E"/>
    <w:rsid w:val="41297BBD"/>
    <w:rsid w:val="413B181B"/>
    <w:rsid w:val="4168282C"/>
    <w:rsid w:val="41C04416"/>
    <w:rsid w:val="41C757A4"/>
    <w:rsid w:val="41F63994"/>
    <w:rsid w:val="424B6E33"/>
    <w:rsid w:val="424D46AF"/>
    <w:rsid w:val="4250579A"/>
    <w:rsid w:val="426D634C"/>
    <w:rsid w:val="42BB7663"/>
    <w:rsid w:val="42CE66BF"/>
    <w:rsid w:val="42F205FF"/>
    <w:rsid w:val="43284021"/>
    <w:rsid w:val="432D5ADB"/>
    <w:rsid w:val="43334FF8"/>
    <w:rsid w:val="43721740"/>
    <w:rsid w:val="43741014"/>
    <w:rsid w:val="4374321C"/>
    <w:rsid w:val="43872601"/>
    <w:rsid w:val="438F7125"/>
    <w:rsid w:val="43CE4AB0"/>
    <w:rsid w:val="43E50447"/>
    <w:rsid w:val="43EB79BB"/>
    <w:rsid w:val="43F145BC"/>
    <w:rsid w:val="44114AB5"/>
    <w:rsid w:val="44267151"/>
    <w:rsid w:val="447A4D50"/>
    <w:rsid w:val="448162CF"/>
    <w:rsid w:val="44870C4C"/>
    <w:rsid w:val="44A122DD"/>
    <w:rsid w:val="44AA7DED"/>
    <w:rsid w:val="44E126D9"/>
    <w:rsid w:val="45240818"/>
    <w:rsid w:val="452D3C06"/>
    <w:rsid w:val="45444E9C"/>
    <w:rsid w:val="459534C4"/>
    <w:rsid w:val="459F4A84"/>
    <w:rsid w:val="45B93656"/>
    <w:rsid w:val="45E31B90"/>
    <w:rsid w:val="46004DE1"/>
    <w:rsid w:val="4609638B"/>
    <w:rsid w:val="462A00B0"/>
    <w:rsid w:val="464B69A4"/>
    <w:rsid w:val="46ED1809"/>
    <w:rsid w:val="46EE37D3"/>
    <w:rsid w:val="471A1ED2"/>
    <w:rsid w:val="471C20EE"/>
    <w:rsid w:val="472D7E58"/>
    <w:rsid w:val="473A089D"/>
    <w:rsid w:val="477318DA"/>
    <w:rsid w:val="479E3B5A"/>
    <w:rsid w:val="47B73BC5"/>
    <w:rsid w:val="47F62CCA"/>
    <w:rsid w:val="481B05F8"/>
    <w:rsid w:val="48396CD0"/>
    <w:rsid w:val="48802209"/>
    <w:rsid w:val="48A26623"/>
    <w:rsid w:val="48FA1FBB"/>
    <w:rsid w:val="48FC3CC4"/>
    <w:rsid w:val="491D5CAA"/>
    <w:rsid w:val="492139EC"/>
    <w:rsid w:val="492422C9"/>
    <w:rsid w:val="495E3293"/>
    <w:rsid w:val="499E328F"/>
    <w:rsid w:val="49BA174B"/>
    <w:rsid w:val="49CC7DFC"/>
    <w:rsid w:val="49F03F8B"/>
    <w:rsid w:val="49F36BD8"/>
    <w:rsid w:val="49F7474D"/>
    <w:rsid w:val="4A4302A9"/>
    <w:rsid w:val="4A514331"/>
    <w:rsid w:val="4A5C2802"/>
    <w:rsid w:val="4A987CDE"/>
    <w:rsid w:val="4AA50C27"/>
    <w:rsid w:val="4AF13892"/>
    <w:rsid w:val="4B0D06CC"/>
    <w:rsid w:val="4B49547C"/>
    <w:rsid w:val="4B5B200A"/>
    <w:rsid w:val="4B663938"/>
    <w:rsid w:val="4B685902"/>
    <w:rsid w:val="4B700018"/>
    <w:rsid w:val="4BBD5D7E"/>
    <w:rsid w:val="4C055DB0"/>
    <w:rsid w:val="4C155991"/>
    <w:rsid w:val="4C602076"/>
    <w:rsid w:val="4C7B78B7"/>
    <w:rsid w:val="4CB30DFF"/>
    <w:rsid w:val="4CCF550D"/>
    <w:rsid w:val="4CD3324F"/>
    <w:rsid w:val="4CD40D75"/>
    <w:rsid w:val="4CF65190"/>
    <w:rsid w:val="4D13189E"/>
    <w:rsid w:val="4D14626B"/>
    <w:rsid w:val="4D2E7428"/>
    <w:rsid w:val="4D446D37"/>
    <w:rsid w:val="4D5B4FF3"/>
    <w:rsid w:val="4D7367E0"/>
    <w:rsid w:val="4D8256E6"/>
    <w:rsid w:val="4D9146BE"/>
    <w:rsid w:val="4DA57494"/>
    <w:rsid w:val="4DC216F2"/>
    <w:rsid w:val="4E0C2D9B"/>
    <w:rsid w:val="4E0E4734"/>
    <w:rsid w:val="4E186D84"/>
    <w:rsid w:val="4E1C4782"/>
    <w:rsid w:val="4E257ADB"/>
    <w:rsid w:val="4E4F6905"/>
    <w:rsid w:val="4E8567CB"/>
    <w:rsid w:val="4EDA3EC9"/>
    <w:rsid w:val="4EE74D90"/>
    <w:rsid w:val="4F0A3022"/>
    <w:rsid w:val="4F304989"/>
    <w:rsid w:val="4F506DD9"/>
    <w:rsid w:val="4F5274E5"/>
    <w:rsid w:val="4F5B577E"/>
    <w:rsid w:val="4F604F48"/>
    <w:rsid w:val="4F8D7A25"/>
    <w:rsid w:val="4FA03191"/>
    <w:rsid w:val="4FA964E9"/>
    <w:rsid w:val="4FD205DC"/>
    <w:rsid w:val="4FD77905"/>
    <w:rsid w:val="4FEB6B02"/>
    <w:rsid w:val="500278C5"/>
    <w:rsid w:val="501222E0"/>
    <w:rsid w:val="50122FA4"/>
    <w:rsid w:val="501F663F"/>
    <w:rsid w:val="505C17AE"/>
    <w:rsid w:val="509251CF"/>
    <w:rsid w:val="50A53155"/>
    <w:rsid w:val="50A8054F"/>
    <w:rsid w:val="50B74C36"/>
    <w:rsid w:val="50EF43D0"/>
    <w:rsid w:val="511D0F3D"/>
    <w:rsid w:val="51367529"/>
    <w:rsid w:val="515F7955"/>
    <w:rsid w:val="51643E68"/>
    <w:rsid w:val="516F1BC7"/>
    <w:rsid w:val="51A35D2E"/>
    <w:rsid w:val="51D11D27"/>
    <w:rsid w:val="51D57A6A"/>
    <w:rsid w:val="520774F7"/>
    <w:rsid w:val="522917DA"/>
    <w:rsid w:val="52374280"/>
    <w:rsid w:val="528E48AC"/>
    <w:rsid w:val="5294522F"/>
    <w:rsid w:val="52A76BF4"/>
    <w:rsid w:val="52C55120"/>
    <w:rsid w:val="52D41ACF"/>
    <w:rsid w:val="52E422E0"/>
    <w:rsid w:val="52F84A1F"/>
    <w:rsid w:val="52FA157C"/>
    <w:rsid w:val="52FC2DD4"/>
    <w:rsid w:val="533D58C6"/>
    <w:rsid w:val="53557705"/>
    <w:rsid w:val="535D7AED"/>
    <w:rsid w:val="536312C8"/>
    <w:rsid w:val="537BC543"/>
    <w:rsid w:val="538232D9"/>
    <w:rsid w:val="539C5B26"/>
    <w:rsid w:val="53AE2320"/>
    <w:rsid w:val="53B13BBE"/>
    <w:rsid w:val="53C75190"/>
    <w:rsid w:val="53EC4BF7"/>
    <w:rsid w:val="53F65A75"/>
    <w:rsid w:val="541D223B"/>
    <w:rsid w:val="541D656E"/>
    <w:rsid w:val="54302D35"/>
    <w:rsid w:val="54D9161F"/>
    <w:rsid w:val="5543118E"/>
    <w:rsid w:val="5559450E"/>
    <w:rsid w:val="5583158B"/>
    <w:rsid w:val="558F1CDD"/>
    <w:rsid w:val="55B62067"/>
    <w:rsid w:val="55BB2AD2"/>
    <w:rsid w:val="55C0633B"/>
    <w:rsid w:val="55E055C2"/>
    <w:rsid w:val="55F935FB"/>
    <w:rsid w:val="56226FF5"/>
    <w:rsid w:val="56706396"/>
    <w:rsid w:val="56955A19"/>
    <w:rsid w:val="56A417B8"/>
    <w:rsid w:val="56B177AB"/>
    <w:rsid w:val="56C60C98"/>
    <w:rsid w:val="56DB1D7B"/>
    <w:rsid w:val="56F91B04"/>
    <w:rsid w:val="56F95FA8"/>
    <w:rsid w:val="56FC15F5"/>
    <w:rsid w:val="570E1063"/>
    <w:rsid w:val="57140EEC"/>
    <w:rsid w:val="57246259"/>
    <w:rsid w:val="57250B4B"/>
    <w:rsid w:val="5725724A"/>
    <w:rsid w:val="57521214"/>
    <w:rsid w:val="57601B83"/>
    <w:rsid w:val="57734CE2"/>
    <w:rsid w:val="57B8376D"/>
    <w:rsid w:val="57B93250"/>
    <w:rsid w:val="57CB26C0"/>
    <w:rsid w:val="57E04A72"/>
    <w:rsid w:val="57F8000E"/>
    <w:rsid w:val="57F8095F"/>
    <w:rsid w:val="57FF7433"/>
    <w:rsid w:val="580306AC"/>
    <w:rsid w:val="587A3DB1"/>
    <w:rsid w:val="587A5D8E"/>
    <w:rsid w:val="587C0C3F"/>
    <w:rsid w:val="5886386C"/>
    <w:rsid w:val="589B67A1"/>
    <w:rsid w:val="58A57515"/>
    <w:rsid w:val="58A61818"/>
    <w:rsid w:val="58A6513D"/>
    <w:rsid w:val="58DB3C34"/>
    <w:rsid w:val="59392B6A"/>
    <w:rsid w:val="594C0EDC"/>
    <w:rsid w:val="59527BF2"/>
    <w:rsid w:val="59A26E03"/>
    <w:rsid w:val="59A87812"/>
    <w:rsid w:val="59AC10B0"/>
    <w:rsid w:val="59F91E1B"/>
    <w:rsid w:val="5A201597"/>
    <w:rsid w:val="5A552015"/>
    <w:rsid w:val="5A61633E"/>
    <w:rsid w:val="5A6776CD"/>
    <w:rsid w:val="5A736072"/>
    <w:rsid w:val="5A8B5169"/>
    <w:rsid w:val="5AB53F94"/>
    <w:rsid w:val="5AC71935"/>
    <w:rsid w:val="5ACC7530"/>
    <w:rsid w:val="5AD36AD3"/>
    <w:rsid w:val="5ADB7D8D"/>
    <w:rsid w:val="5ADD0A12"/>
    <w:rsid w:val="5ADF1011"/>
    <w:rsid w:val="5AEB3E5A"/>
    <w:rsid w:val="5AF820D3"/>
    <w:rsid w:val="5B122BBA"/>
    <w:rsid w:val="5B30027E"/>
    <w:rsid w:val="5B422F20"/>
    <w:rsid w:val="5B6B0AF7"/>
    <w:rsid w:val="5B9C33A6"/>
    <w:rsid w:val="5BA5225B"/>
    <w:rsid w:val="5BA87F9D"/>
    <w:rsid w:val="5BAF6850"/>
    <w:rsid w:val="5BD14DFE"/>
    <w:rsid w:val="5C515F3F"/>
    <w:rsid w:val="5C5679F9"/>
    <w:rsid w:val="5C904CB9"/>
    <w:rsid w:val="5C91458D"/>
    <w:rsid w:val="5C9D2F32"/>
    <w:rsid w:val="5CCE6A7C"/>
    <w:rsid w:val="5CD252D1"/>
    <w:rsid w:val="5CEB1EEF"/>
    <w:rsid w:val="5D20178F"/>
    <w:rsid w:val="5D215911"/>
    <w:rsid w:val="5D5061F6"/>
    <w:rsid w:val="5D600B2F"/>
    <w:rsid w:val="5D845EA0"/>
    <w:rsid w:val="5DD706C5"/>
    <w:rsid w:val="5DDE6FE0"/>
    <w:rsid w:val="5DE828D3"/>
    <w:rsid w:val="5DF23751"/>
    <w:rsid w:val="5E05210A"/>
    <w:rsid w:val="5E061DEF"/>
    <w:rsid w:val="5E0E3E35"/>
    <w:rsid w:val="5E1E00A2"/>
    <w:rsid w:val="5E1E4546"/>
    <w:rsid w:val="5E2A6A47"/>
    <w:rsid w:val="5E4B0F37"/>
    <w:rsid w:val="5E6A153A"/>
    <w:rsid w:val="5EC84F66"/>
    <w:rsid w:val="5EE11C7F"/>
    <w:rsid w:val="5EE44E48"/>
    <w:rsid w:val="5F002E5F"/>
    <w:rsid w:val="5F0B6879"/>
    <w:rsid w:val="5F1D47FE"/>
    <w:rsid w:val="5F487112"/>
    <w:rsid w:val="5F5D2E4C"/>
    <w:rsid w:val="5F685B4F"/>
    <w:rsid w:val="5FA50C8F"/>
    <w:rsid w:val="5FCD5EB1"/>
    <w:rsid w:val="5FD2383A"/>
    <w:rsid w:val="5FF03648"/>
    <w:rsid w:val="5FF42E21"/>
    <w:rsid w:val="60350178"/>
    <w:rsid w:val="604C539B"/>
    <w:rsid w:val="605129B1"/>
    <w:rsid w:val="6077540C"/>
    <w:rsid w:val="60A96349"/>
    <w:rsid w:val="60CF44FC"/>
    <w:rsid w:val="61483DB4"/>
    <w:rsid w:val="617A7CE6"/>
    <w:rsid w:val="61960CBB"/>
    <w:rsid w:val="61A11716"/>
    <w:rsid w:val="61BF1B9C"/>
    <w:rsid w:val="621C0D9D"/>
    <w:rsid w:val="6280757E"/>
    <w:rsid w:val="62966DA1"/>
    <w:rsid w:val="629D3340"/>
    <w:rsid w:val="62A05A00"/>
    <w:rsid w:val="633009A1"/>
    <w:rsid w:val="63324A9D"/>
    <w:rsid w:val="63497970"/>
    <w:rsid w:val="635D78BF"/>
    <w:rsid w:val="63CF166C"/>
    <w:rsid w:val="63D52F7D"/>
    <w:rsid w:val="63FE69AC"/>
    <w:rsid w:val="640F4477"/>
    <w:rsid w:val="640F6E0B"/>
    <w:rsid w:val="6457430E"/>
    <w:rsid w:val="646033F8"/>
    <w:rsid w:val="64CD5D9E"/>
    <w:rsid w:val="64DF440C"/>
    <w:rsid w:val="6502427A"/>
    <w:rsid w:val="65100A4A"/>
    <w:rsid w:val="6517709E"/>
    <w:rsid w:val="65402FF4"/>
    <w:rsid w:val="658163F8"/>
    <w:rsid w:val="65907AD8"/>
    <w:rsid w:val="65BA3A3D"/>
    <w:rsid w:val="65E971E8"/>
    <w:rsid w:val="65F938CF"/>
    <w:rsid w:val="661A1A97"/>
    <w:rsid w:val="661C75BD"/>
    <w:rsid w:val="666772C0"/>
    <w:rsid w:val="66AD290B"/>
    <w:rsid w:val="66BB6DD6"/>
    <w:rsid w:val="66ED1981"/>
    <w:rsid w:val="66F9345B"/>
    <w:rsid w:val="671C1C74"/>
    <w:rsid w:val="672524A2"/>
    <w:rsid w:val="674212A6"/>
    <w:rsid w:val="6751277D"/>
    <w:rsid w:val="675F0D30"/>
    <w:rsid w:val="6764121C"/>
    <w:rsid w:val="677347DE"/>
    <w:rsid w:val="679118E5"/>
    <w:rsid w:val="67955879"/>
    <w:rsid w:val="67A066E9"/>
    <w:rsid w:val="6841155D"/>
    <w:rsid w:val="684352D5"/>
    <w:rsid w:val="68525518"/>
    <w:rsid w:val="685B3D61"/>
    <w:rsid w:val="6864263E"/>
    <w:rsid w:val="68752FB5"/>
    <w:rsid w:val="68FC5484"/>
    <w:rsid w:val="692C3FBB"/>
    <w:rsid w:val="6938470E"/>
    <w:rsid w:val="694E3F32"/>
    <w:rsid w:val="69947926"/>
    <w:rsid w:val="69D106BF"/>
    <w:rsid w:val="69D41F5D"/>
    <w:rsid w:val="6A114F5F"/>
    <w:rsid w:val="6A310F93"/>
    <w:rsid w:val="6A70715D"/>
    <w:rsid w:val="6A9A67E8"/>
    <w:rsid w:val="6AAD6498"/>
    <w:rsid w:val="6AC3259D"/>
    <w:rsid w:val="6AFC6742"/>
    <w:rsid w:val="6B0653E2"/>
    <w:rsid w:val="6B6674DB"/>
    <w:rsid w:val="6B8579B3"/>
    <w:rsid w:val="6B916E0A"/>
    <w:rsid w:val="6B981494"/>
    <w:rsid w:val="6BA9191E"/>
    <w:rsid w:val="6BAE6F0A"/>
    <w:rsid w:val="6C133210"/>
    <w:rsid w:val="6C1B0610"/>
    <w:rsid w:val="6C21592D"/>
    <w:rsid w:val="6C6C46CF"/>
    <w:rsid w:val="6CB9400A"/>
    <w:rsid w:val="6CD3474E"/>
    <w:rsid w:val="6CE150BD"/>
    <w:rsid w:val="6D0F1C2A"/>
    <w:rsid w:val="6D34343E"/>
    <w:rsid w:val="6D3D0B04"/>
    <w:rsid w:val="6D522667"/>
    <w:rsid w:val="6D6952E4"/>
    <w:rsid w:val="6D9C0FE4"/>
    <w:rsid w:val="6DC12A04"/>
    <w:rsid w:val="6DCB64C6"/>
    <w:rsid w:val="6DE74955"/>
    <w:rsid w:val="6DF01AC8"/>
    <w:rsid w:val="6DFB21AE"/>
    <w:rsid w:val="6E22598D"/>
    <w:rsid w:val="6E386F5E"/>
    <w:rsid w:val="6E777A87"/>
    <w:rsid w:val="6E7D7067"/>
    <w:rsid w:val="6ECA72DF"/>
    <w:rsid w:val="6EFA5FFD"/>
    <w:rsid w:val="6F094457"/>
    <w:rsid w:val="6F3C2A7E"/>
    <w:rsid w:val="6F403B3F"/>
    <w:rsid w:val="6F4E71EA"/>
    <w:rsid w:val="6F507677"/>
    <w:rsid w:val="6FA06B69"/>
    <w:rsid w:val="6FD66A2F"/>
    <w:rsid w:val="6FEB78FA"/>
    <w:rsid w:val="6FF670D1"/>
    <w:rsid w:val="701F523E"/>
    <w:rsid w:val="702A2D27"/>
    <w:rsid w:val="703F45D4"/>
    <w:rsid w:val="70545BA6"/>
    <w:rsid w:val="706109EE"/>
    <w:rsid w:val="707F70C6"/>
    <w:rsid w:val="709242CA"/>
    <w:rsid w:val="70BF3967"/>
    <w:rsid w:val="70EF6DAB"/>
    <w:rsid w:val="70F57389"/>
    <w:rsid w:val="71334C41"/>
    <w:rsid w:val="71381023"/>
    <w:rsid w:val="7175064C"/>
    <w:rsid w:val="71EA67C2"/>
    <w:rsid w:val="723143F0"/>
    <w:rsid w:val="72347801"/>
    <w:rsid w:val="723526A0"/>
    <w:rsid w:val="723D60AC"/>
    <w:rsid w:val="726A0517"/>
    <w:rsid w:val="726E2F4F"/>
    <w:rsid w:val="7278413C"/>
    <w:rsid w:val="72831B11"/>
    <w:rsid w:val="728C605F"/>
    <w:rsid w:val="72B666A4"/>
    <w:rsid w:val="72C07522"/>
    <w:rsid w:val="72CC236B"/>
    <w:rsid w:val="72E70F53"/>
    <w:rsid w:val="72EC434F"/>
    <w:rsid w:val="73075151"/>
    <w:rsid w:val="73260519"/>
    <w:rsid w:val="732C6966"/>
    <w:rsid w:val="73353A6C"/>
    <w:rsid w:val="73440153"/>
    <w:rsid w:val="73612DEF"/>
    <w:rsid w:val="73852C46"/>
    <w:rsid w:val="73902AB4"/>
    <w:rsid w:val="73A90D79"/>
    <w:rsid w:val="73B51B5C"/>
    <w:rsid w:val="73D56FFD"/>
    <w:rsid w:val="73DB579E"/>
    <w:rsid w:val="73F12089"/>
    <w:rsid w:val="74363F40"/>
    <w:rsid w:val="74371495"/>
    <w:rsid w:val="745D7266"/>
    <w:rsid w:val="74AA613E"/>
    <w:rsid w:val="74B46B63"/>
    <w:rsid w:val="74D231A8"/>
    <w:rsid w:val="74E4399C"/>
    <w:rsid w:val="753A10EC"/>
    <w:rsid w:val="75501A7B"/>
    <w:rsid w:val="755D74F0"/>
    <w:rsid w:val="75681044"/>
    <w:rsid w:val="758B02BC"/>
    <w:rsid w:val="75A16712"/>
    <w:rsid w:val="75AD3D8E"/>
    <w:rsid w:val="75D51537"/>
    <w:rsid w:val="75FB0F9D"/>
    <w:rsid w:val="76071B47"/>
    <w:rsid w:val="76336D41"/>
    <w:rsid w:val="764741E2"/>
    <w:rsid w:val="76636B42"/>
    <w:rsid w:val="76744178"/>
    <w:rsid w:val="768014A2"/>
    <w:rsid w:val="76AF7FDA"/>
    <w:rsid w:val="76B4739E"/>
    <w:rsid w:val="76C92E49"/>
    <w:rsid w:val="76E97048"/>
    <w:rsid w:val="76EE28B0"/>
    <w:rsid w:val="770976EA"/>
    <w:rsid w:val="772D6D9C"/>
    <w:rsid w:val="772E1BA6"/>
    <w:rsid w:val="77385759"/>
    <w:rsid w:val="77545989"/>
    <w:rsid w:val="776816DF"/>
    <w:rsid w:val="77A9581A"/>
    <w:rsid w:val="77C7709F"/>
    <w:rsid w:val="77DC095A"/>
    <w:rsid w:val="77E51F05"/>
    <w:rsid w:val="77F9150C"/>
    <w:rsid w:val="78012A39"/>
    <w:rsid w:val="780836F0"/>
    <w:rsid w:val="78284E75"/>
    <w:rsid w:val="782878B2"/>
    <w:rsid w:val="78BA159F"/>
    <w:rsid w:val="78E644E2"/>
    <w:rsid w:val="791800B8"/>
    <w:rsid w:val="792D64F4"/>
    <w:rsid w:val="79355B9E"/>
    <w:rsid w:val="79482B3B"/>
    <w:rsid w:val="796706F8"/>
    <w:rsid w:val="798E56F7"/>
    <w:rsid w:val="79AB4269"/>
    <w:rsid w:val="79DA536E"/>
    <w:rsid w:val="79E04637"/>
    <w:rsid w:val="7A1609FC"/>
    <w:rsid w:val="7A3A5E0C"/>
    <w:rsid w:val="7A8D23E0"/>
    <w:rsid w:val="7AA20118"/>
    <w:rsid w:val="7AA650D6"/>
    <w:rsid w:val="7ACB30F0"/>
    <w:rsid w:val="7ACC115A"/>
    <w:rsid w:val="7AE21079"/>
    <w:rsid w:val="7AE651E7"/>
    <w:rsid w:val="7B735A7A"/>
    <w:rsid w:val="7B9125ED"/>
    <w:rsid w:val="7B9B28DB"/>
    <w:rsid w:val="7BBA0FB3"/>
    <w:rsid w:val="7BDF6541"/>
    <w:rsid w:val="7BF35ACB"/>
    <w:rsid w:val="7C016BE2"/>
    <w:rsid w:val="7C495787"/>
    <w:rsid w:val="7C6B6751"/>
    <w:rsid w:val="7C8D3BF7"/>
    <w:rsid w:val="7CC3658D"/>
    <w:rsid w:val="7CC7607D"/>
    <w:rsid w:val="7CE31D34"/>
    <w:rsid w:val="7CE85FF3"/>
    <w:rsid w:val="7CF14EA8"/>
    <w:rsid w:val="7CF404F4"/>
    <w:rsid w:val="7CF82EE9"/>
    <w:rsid w:val="7CFD1A9F"/>
    <w:rsid w:val="7D0B5A08"/>
    <w:rsid w:val="7D3C62C4"/>
    <w:rsid w:val="7D456FA2"/>
    <w:rsid w:val="7D567401"/>
    <w:rsid w:val="7D7434FD"/>
    <w:rsid w:val="7D8201F6"/>
    <w:rsid w:val="7DC13E48"/>
    <w:rsid w:val="7DC55265"/>
    <w:rsid w:val="7DF56FAA"/>
    <w:rsid w:val="7E226B42"/>
    <w:rsid w:val="7E2968C4"/>
    <w:rsid w:val="7E775881"/>
    <w:rsid w:val="7E7C6718"/>
    <w:rsid w:val="7E9A61B9"/>
    <w:rsid w:val="7EAE55A4"/>
    <w:rsid w:val="7EE47A6C"/>
    <w:rsid w:val="7EF649F8"/>
    <w:rsid w:val="7EF706D4"/>
    <w:rsid w:val="7F08472B"/>
    <w:rsid w:val="7F39280D"/>
    <w:rsid w:val="7F4E1508"/>
    <w:rsid w:val="7F736048"/>
    <w:rsid w:val="7F78540D"/>
    <w:rsid w:val="7FB35463"/>
    <w:rsid w:val="7FF93C95"/>
    <w:rsid w:val="BF7BF81D"/>
    <w:rsid w:val="DB7BD293"/>
    <w:rsid w:val="FF9F2C3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9"/>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31"/>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61"/>
    <w:qFormat/>
    <w:uiPriority w:val="99"/>
    <w:pPr>
      <w:keepNext/>
      <w:keepLines/>
      <w:spacing w:before="260" w:after="260" w:line="416" w:lineRule="auto"/>
      <w:outlineLvl w:val="2"/>
    </w:pPr>
    <w:rPr>
      <w:b/>
      <w:bCs/>
      <w:kern w:val="0"/>
      <w:sz w:val="32"/>
      <w:szCs w:val="32"/>
    </w:rPr>
  </w:style>
  <w:style w:type="paragraph" w:styleId="6">
    <w:name w:val="heading 4"/>
    <w:basedOn w:val="1"/>
    <w:next w:val="1"/>
    <w:autoRedefine/>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7">
    <w:name w:val="heading 5"/>
    <w:basedOn w:val="1"/>
    <w:next w:val="8"/>
    <w:link w:val="62"/>
    <w:autoRedefine/>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63"/>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64"/>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65"/>
    <w:autoRedefine/>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6"/>
    <w:autoRedefine/>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autoRedefine/>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index 1"/>
    <w:basedOn w:val="1"/>
    <w:next w:val="1"/>
    <w:qFormat/>
    <w:uiPriority w:val="0"/>
    <w:pPr>
      <w:spacing w:line="400" w:lineRule="exact"/>
      <w:ind w:firstLine="420" w:firstLineChars="200"/>
    </w:pPr>
    <w:rPr>
      <w:rFonts w:ascii="宋体" w:hAnsi="Courier New"/>
      <w:b/>
      <w:szCs w:val="20"/>
    </w:rPr>
  </w:style>
  <w:style w:type="paragraph" w:styleId="8">
    <w:name w:val="Normal Indent"/>
    <w:basedOn w:val="1"/>
    <w:qFormat/>
    <w:uiPriority w:val="0"/>
    <w:pPr>
      <w:ind w:firstLine="420"/>
    </w:pPr>
    <w:rPr>
      <w:szCs w:val="20"/>
    </w:rPr>
  </w:style>
  <w:style w:type="paragraph" w:styleId="13">
    <w:name w:val="toc 7"/>
    <w:basedOn w:val="1"/>
    <w:next w:val="1"/>
    <w:qFormat/>
    <w:uiPriority w:val="39"/>
    <w:pPr>
      <w:ind w:left="2520" w:leftChars="1200"/>
    </w:pPr>
    <w:rPr>
      <w:rFonts w:ascii="Calibri" w:hAnsi="Calibri"/>
      <w:szCs w:val="22"/>
    </w:rPr>
  </w:style>
  <w:style w:type="paragraph" w:styleId="14">
    <w:name w:val="List Number"/>
    <w:basedOn w:val="1"/>
    <w:autoRedefine/>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67"/>
    <w:qFormat/>
    <w:uiPriority w:val="0"/>
    <w:pPr>
      <w:shd w:val="clear" w:color="auto" w:fill="000080"/>
    </w:pPr>
    <w:rPr>
      <w:rFonts w:hint="eastAsia" w:ascii="宋体" w:hAnsi="宋体"/>
      <w:kern w:val="0"/>
      <w:sz w:val="20"/>
      <w:szCs w:val="20"/>
    </w:rPr>
  </w:style>
  <w:style w:type="paragraph" w:styleId="17">
    <w:name w:val="annotation text"/>
    <w:basedOn w:val="1"/>
    <w:link w:val="68"/>
    <w:qFormat/>
    <w:uiPriority w:val="0"/>
    <w:pPr>
      <w:jc w:val="left"/>
    </w:pPr>
  </w:style>
  <w:style w:type="paragraph" w:styleId="18">
    <w:name w:val="Body Text 3"/>
    <w:basedOn w:val="1"/>
    <w:link w:val="69"/>
    <w:autoRedefine/>
    <w:qFormat/>
    <w:uiPriority w:val="0"/>
    <w:pPr>
      <w:spacing w:line="500" w:lineRule="exact"/>
    </w:pPr>
    <w:rPr>
      <w:b/>
      <w:bCs/>
      <w:kern w:val="0"/>
      <w:sz w:val="24"/>
    </w:rPr>
  </w:style>
  <w:style w:type="paragraph" w:styleId="19">
    <w:name w:val="Body Text"/>
    <w:basedOn w:val="1"/>
    <w:link w:val="70"/>
    <w:autoRedefine/>
    <w:qFormat/>
    <w:uiPriority w:val="99"/>
    <w:pPr>
      <w:spacing w:line="380" w:lineRule="exact"/>
    </w:pPr>
    <w:rPr>
      <w:kern w:val="0"/>
      <w:sz w:val="24"/>
    </w:rPr>
  </w:style>
  <w:style w:type="paragraph" w:styleId="20">
    <w:name w:val="Body Text Indent"/>
    <w:basedOn w:val="1"/>
    <w:link w:val="71"/>
    <w:qFormat/>
    <w:uiPriority w:val="0"/>
    <w:pPr>
      <w:ind w:firstLine="830" w:firstLineChars="352"/>
    </w:pPr>
    <w:rPr>
      <w:rFonts w:ascii="仿宋_GB2312" w:eastAsia="仿宋_GB2312"/>
      <w:kern w:val="0"/>
      <w:sz w:val="32"/>
      <w:szCs w:val="20"/>
    </w:rPr>
  </w:style>
  <w:style w:type="paragraph" w:styleId="21">
    <w:name w:val="List Number 3"/>
    <w:basedOn w:val="1"/>
    <w:autoRedefine/>
    <w:qFormat/>
    <w:uiPriority w:val="0"/>
    <w:pPr>
      <w:numPr>
        <w:ilvl w:val="0"/>
        <w:numId w:val="2"/>
      </w:numPr>
    </w:pPr>
  </w:style>
  <w:style w:type="paragraph" w:styleId="22">
    <w:name w:val="List 2"/>
    <w:basedOn w:val="1"/>
    <w:autoRedefine/>
    <w:qFormat/>
    <w:uiPriority w:val="0"/>
    <w:pPr>
      <w:ind w:left="100" w:leftChars="200" w:hanging="200" w:hangingChars="200"/>
    </w:pPr>
    <w:rPr>
      <w:sz w:val="28"/>
    </w:rPr>
  </w:style>
  <w:style w:type="paragraph" w:styleId="23">
    <w:name w:val="Block Text"/>
    <w:basedOn w:val="1"/>
    <w:autoRedefine/>
    <w:qFormat/>
    <w:uiPriority w:val="99"/>
    <w:pPr>
      <w:adjustRightInd w:val="0"/>
      <w:ind w:left="420" w:right="33"/>
      <w:jc w:val="left"/>
      <w:textAlignment w:val="baseline"/>
    </w:pPr>
    <w:rPr>
      <w:kern w:val="0"/>
      <w:szCs w:val="20"/>
    </w:rPr>
  </w:style>
  <w:style w:type="paragraph" w:styleId="24">
    <w:name w:val="toc 5"/>
    <w:basedOn w:val="1"/>
    <w:next w:val="1"/>
    <w:qFormat/>
    <w:uiPriority w:val="39"/>
    <w:pPr>
      <w:ind w:left="1680" w:leftChars="800"/>
    </w:pPr>
    <w:rPr>
      <w:rFonts w:ascii="Calibri" w:hAnsi="Calibri"/>
      <w:szCs w:val="22"/>
    </w:rPr>
  </w:style>
  <w:style w:type="paragraph" w:styleId="25">
    <w:name w:val="toc 3"/>
    <w:basedOn w:val="1"/>
    <w:next w:val="1"/>
    <w:qFormat/>
    <w:uiPriority w:val="39"/>
    <w:pPr>
      <w:ind w:left="840" w:leftChars="400"/>
    </w:pPr>
    <w:rPr>
      <w:rFonts w:ascii="Calibri" w:hAnsi="Calibri"/>
      <w:szCs w:val="22"/>
    </w:rPr>
  </w:style>
  <w:style w:type="paragraph" w:styleId="26">
    <w:name w:val="Plain Text"/>
    <w:basedOn w:val="1"/>
    <w:next w:val="1"/>
    <w:link w:val="72"/>
    <w:autoRedefine/>
    <w:qFormat/>
    <w:uiPriority w:val="0"/>
    <w:rPr>
      <w:rFonts w:ascii="宋体" w:hAnsi="Courier New"/>
      <w:kern w:val="0"/>
      <w:sz w:val="20"/>
      <w:szCs w:val="21"/>
    </w:rPr>
  </w:style>
  <w:style w:type="paragraph" w:styleId="27">
    <w:name w:val="toc 8"/>
    <w:basedOn w:val="1"/>
    <w:next w:val="1"/>
    <w:qFormat/>
    <w:uiPriority w:val="39"/>
    <w:pPr>
      <w:ind w:left="2940" w:leftChars="1400"/>
    </w:pPr>
    <w:rPr>
      <w:rFonts w:ascii="Calibri" w:hAnsi="Calibri"/>
      <w:szCs w:val="22"/>
    </w:rPr>
  </w:style>
  <w:style w:type="paragraph" w:styleId="28">
    <w:name w:val="Date"/>
    <w:basedOn w:val="1"/>
    <w:next w:val="1"/>
    <w:link w:val="73"/>
    <w:qFormat/>
    <w:uiPriority w:val="0"/>
    <w:pPr>
      <w:ind w:left="100" w:leftChars="2500"/>
    </w:pPr>
    <w:rPr>
      <w:rFonts w:ascii="宋体" w:hAnsi="Courier New"/>
      <w:kern w:val="0"/>
      <w:sz w:val="20"/>
      <w:szCs w:val="21"/>
    </w:rPr>
  </w:style>
  <w:style w:type="paragraph" w:styleId="29">
    <w:name w:val="Body Text Indent 2"/>
    <w:basedOn w:val="1"/>
    <w:link w:val="74"/>
    <w:qFormat/>
    <w:uiPriority w:val="0"/>
    <w:pPr>
      <w:ind w:firstLine="630"/>
    </w:pPr>
    <w:rPr>
      <w:kern w:val="0"/>
      <w:sz w:val="32"/>
      <w:szCs w:val="20"/>
    </w:rPr>
  </w:style>
  <w:style w:type="paragraph" w:styleId="30">
    <w:name w:val="endnote text"/>
    <w:basedOn w:val="1"/>
    <w:link w:val="75"/>
    <w:autoRedefine/>
    <w:qFormat/>
    <w:uiPriority w:val="99"/>
    <w:pPr>
      <w:snapToGrid w:val="0"/>
      <w:jc w:val="left"/>
    </w:pPr>
  </w:style>
  <w:style w:type="paragraph" w:styleId="31">
    <w:name w:val="Balloon Text"/>
    <w:basedOn w:val="1"/>
    <w:link w:val="76"/>
    <w:qFormat/>
    <w:uiPriority w:val="0"/>
    <w:rPr>
      <w:kern w:val="0"/>
      <w:sz w:val="18"/>
      <w:szCs w:val="18"/>
    </w:rPr>
  </w:style>
  <w:style w:type="paragraph" w:styleId="32">
    <w:name w:val="footer"/>
    <w:basedOn w:val="1"/>
    <w:link w:val="77"/>
    <w:qFormat/>
    <w:uiPriority w:val="99"/>
    <w:pPr>
      <w:tabs>
        <w:tab w:val="center" w:pos="4153"/>
        <w:tab w:val="right" w:pos="8306"/>
      </w:tabs>
      <w:snapToGrid w:val="0"/>
      <w:jc w:val="left"/>
    </w:pPr>
    <w:rPr>
      <w:kern w:val="0"/>
      <w:sz w:val="18"/>
      <w:szCs w:val="18"/>
    </w:rPr>
  </w:style>
  <w:style w:type="paragraph" w:styleId="33">
    <w:name w:val="header"/>
    <w:basedOn w:val="1"/>
    <w:link w:val="78"/>
    <w:autoRedefine/>
    <w:qFormat/>
    <w:uiPriority w:val="99"/>
    <w:pPr>
      <w:pBdr>
        <w:bottom w:val="single" w:color="auto" w:sz="6" w:space="1"/>
      </w:pBdr>
      <w:tabs>
        <w:tab w:val="center" w:pos="0"/>
        <w:tab w:val="left" w:pos="8306"/>
      </w:tabs>
      <w:snapToGrid w:val="0"/>
      <w:jc w:val="center"/>
    </w:pPr>
    <w:rPr>
      <w:sz w:val="18"/>
      <w:szCs w:val="18"/>
    </w:rPr>
  </w:style>
  <w:style w:type="paragraph" w:styleId="34">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5">
    <w:name w:val="toc 4"/>
    <w:basedOn w:val="1"/>
    <w:next w:val="1"/>
    <w:qFormat/>
    <w:uiPriority w:val="39"/>
    <w:pPr>
      <w:ind w:left="1260" w:leftChars="600"/>
    </w:pPr>
    <w:rPr>
      <w:rFonts w:ascii="Calibri" w:hAnsi="Calibri"/>
      <w:szCs w:val="22"/>
    </w:rPr>
  </w:style>
  <w:style w:type="paragraph" w:styleId="36">
    <w:name w:val="List"/>
    <w:basedOn w:val="1"/>
    <w:qFormat/>
    <w:uiPriority w:val="0"/>
    <w:pPr>
      <w:ind w:left="200" w:hanging="200" w:hangingChars="200"/>
    </w:pPr>
    <w:rPr>
      <w:sz w:val="28"/>
    </w:rPr>
  </w:style>
  <w:style w:type="paragraph" w:styleId="37">
    <w:name w:val="footnote text"/>
    <w:basedOn w:val="1"/>
    <w:link w:val="79"/>
    <w:qFormat/>
    <w:uiPriority w:val="99"/>
    <w:pPr>
      <w:snapToGrid w:val="0"/>
      <w:jc w:val="left"/>
    </w:pPr>
    <w:rPr>
      <w:sz w:val="18"/>
      <w:szCs w:val="18"/>
    </w:rPr>
  </w:style>
  <w:style w:type="paragraph" w:styleId="38">
    <w:name w:val="toc 6"/>
    <w:basedOn w:val="1"/>
    <w:next w:val="1"/>
    <w:qFormat/>
    <w:uiPriority w:val="39"/>
    <w:pPr>
      <w:ind w:left="2100" w:leftChars="1000"/>
    </w:pPr>
    <w:rPr>
      <w:rFonts w:ascii="Calibri" w:hAnsi="Calibri"/>
      <w:szCs w:val="22"/>
    </w:rPr>
  </w:style>
  <w:style w:type="paragraph" w:styleId="39">
    <w:name w:val="Body Text Indent 3"/>
    <w:basedOn w:val="1"/>
    <w:link w:val="80"/>
    <w:qFormat/>
    <w:uiPriority w:val="0"/>
    <w:pPr>
      <w:spacing w:after="120"/>
      <w:ind w:left="420" w:leftChars="200"/>
    </w:pPr>
    <w:rPr>
      <w:kern w:val="0"/>
      <w:sz w:val="16"/>
      <w:szCs w:val="16"/>
    </w:rPr>
  </w:style>
  <w:style w:type="paragraph" w:styleId="40">
    <w:name w:val="toc 2"/>
    <w:basedOn w:val="1"/>
    <w:next w:val="1"/>
    <w:qFormat/>
    <w:uiPriority w:val="39"/>
    <w:pPr>
      <w:ind w:left="420" w:leftChars="200"/>
    </w:pPr>
  </w:style>
  <w:style w:type="paragraph" w:styleId="41">
    <w:name w:val="toc 9"/>
    <w:basedOn w:val="1"/>
    <w:next w:val="1"/>
    <w:qFormat/>
    <w:uiPriority w:val="39"/>
    <w:pPr>
      <w:ind w:left="3360" w:leftChars="1600"/>
    </w:pPr>
    <w:rPr>
      <w:rFonts w:ascii="Calibri" w:hAnsi="Calibri"/>
      <w:szCs w:val="22"/>
    </w:rPr>
  </w:style>
  <w:style w:type="paragraph" w:styleId="42">
    <w:name w:val="Body Text 2"/>
    <w:basedOn w:val="1"/>
    <w:link w:val="81"/>
    <w:qFormat/>
    <w:uiPriority w:val="0"/>
    <w:pPr>
      <w:spacing w:after="120" w:line="480" w:lineRule="auto"/>
    </w:pPr>
    <w:rPr>
      <w:kern w:val="0"/>
      <w:sz w:val="20"/>
    </w:rPr>
  </w:style>
  <w:style w:type="paragraph" w:styleId="43">
    <w:name w:val="Normal (Web)"/>
    <w:basedOn w:val="1"/>
    <w:qFormat/>
    <w:uiPriority w:val="0"/>
    <w:pPr>
      <w:widowControl/>
      <w:spacing w:before="100" w:beforeAutospacing="1" w:after="100" w:afterAutospacing="1"/>
      <w:jc w:val="left"/>
    </w:pPr>
    <w:rPr>
      <w:rFonts w:ascii="宋体" w:hAnsi="宋体"/>
      <w:kern w:val="0"/>
      <w:sz w:val="24"/>
    </w:rPr>
  </w:style>
  <w:style w:type="paragraph" w:styleId="44">
    <w:name w:val="Title"/>
    <w:basedOn w:val="1"/>
    <w:next w:val="1"/>
    <w:link w:val="82"/>
    <w:qFormat/>
    <w:uiPriority w:val="10"/>
    <w:pPr>
      <w:spacing w:before="240" w:after="60"/>
      <w:jc w:val="center"/>
      <w:outlineLvl w:val="0"/>
    </w:pPr>
    <w:rPr>
      <w:rFonts w:ascii="Cambria" w:hAnsi="Cambria"/>
      <w:b/>
      <w:bCs/>
      <w:sz w:val="32"/>
      <w:szCs w:val="32"/>
    </w:rPr>
  </w:style>
  <w:style w:type="paragraph" w:styleId="45">
    <w:name w:val="annotation subject"/>
    <w:basedOn w:val="17"/>
    <w:next w:val="17"/>
    <w:link w:val="83"/>
    <w:qFormat/>
    <w:uiPriority w:val="99"/>
    <w:rPr>
      <w:b/>
      <w:bCs/>
    </w:rPr>
  </w:style>
  <w:style w:type="paragraph" w:styleId="46">
    <w:name w:val="Body Text First Indent"/>
    <w:basedOn w:val="19"/>
    <w:qFormat/>
    <w:uiPriority w:val="99"/>
    <w:pPr>
      <w:ind w:firstLine="420" w:firstLineChars="100"/>
    </w:pPr>
  </w:style>
  <w:style w:type="paragraph" w:styleId="47">
    <w:name w:val="Body Text First Indent 2"/>
    <w:basedOn w:val="20"/>
    <w:unhideWhenUsed/>
    <w:qFormat/>
    <w:uiPriority w:val="99"/>
    <w:pPr>
      <w:spacing w:after="120" w:line="240" w:lineRule="auto"/>
      <w:ind w:left="420" w:leftChars="200" w:firstLine="420" w:firstLineChars="200"/>
    </w:pPr>
    <w:rPr>
      <w:rFonts w:ascii="Times New Roman" w:hAnsi="Times New Roman" w:eastAsia="宋体" w:cs="Times New Roman"/>
      <w:kern w:val="2"/>
      <w:sz w:val="21"/>
      <w:szCs w:val="24"/>
    </w:rPr>
  </w:style>
  <w:style w:type="table" w:styleId="49">
    <w:name w:val="Table Grid"/>
    <w:basedOn w:val="4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basedOn w:val="50"/>
    <w:qFormat/>
    <w:uiPriority w:val="22"/>
    <w:rPr>
      <w:b/>
    </w:rPr>
  </w:style>
  <w:style w:type="character" w:styleId="52">
    <w:name w:val="endnote reference"/>
    <w:qFormat/>
    <w:uiPriority w:val="99"/>
    <w:rPr>
      <w:vertAlign w:val="superscript"/>
    </w:rPr>
  </w:style>
  <w:style w:type="character" w:styleId="53">
    <w:name w:val="page number"/>
    <w:qFormat/>
    <w:uiPriority w:val="0"/>
  </w:style>
  <w:style w:type="character" w:styleId="54">
    <w:name w:val="FollowedHyperlink"/>
    <w:qFormat/>
    <w:uiPriority w:val="0"/>
    <w:rPr>
      <w:color w:val="800080"/>
      <w:u w:val="single"/>
    </w:rPr>
  </w:style>
  <w:style w:type="character" w:styleId="55">
    <w:name w:val="Emphasis"/>
    <w:basedOn w:val="50"/>
    <w:qFormat/>
    <w:uiPriority w:val="20"/>
    <w:rPr>
      <w:i/>
    </w:rPr>
  </w:style>
  <w:style w:type="character" w:styleId="56">
    <w:name w:val="Hyperlink"/>
    <w:qFormat/>
    <w:uiPriority w:val="99"/>
    <w:rPr>
      <w:color w:val="0000FF"/>
      <w:u w:val="single"/>
    </w:rPr>
  </w:style>
  <w:style w:type="character" w:styleId="57">
    <w:name w:val="annotation reference"/>
    <w:qFormat/>
    <w:uiPriority w:val="0"/>
    <w:rPr>
      <w:sz w:val="21"/>
      <w:szCs w:val="21"/>
    </w:rPr>
  </w:style>
  <w:style w:type="character" w:styleId="58">
    <w:name w:val="footnote reference"/>
    <w:qFormat/>
    <w:uiPriority w:val="99"/>
    <w:rPr>
      <w:vertAlign w:val="superscript"/>
    </w:rPr>
  </w:style>
  <w:style w:type="character" w:customStyle="1" w:styleId="59">
    <w:name w:val="标题 1 字符1"/>
    <w:link w:val="3"/>
    <w:qFormat/>
    <w:uiPriority w:val="0"/>
    <w:rPr>
      <w:rFonts w:ascii="Times New Roman" w:hAnsi="Times New Roman" w:eastAsia="宋体" w:cs="Times New Roman"/>
      <w:b/>
      <w:bCs/>
      <w:kern w:val="44"/>
      <w:sz w:val="44"/>
      <w:szCs w:val="44"/>
    </w:rPr>
  </w:style>
  <w:style w:type="character" w:customStyle="1" w:styleId="60">
    <w:name w:val="标题 2 字符"/>
    <w:qFormat/>
    <w:uiPriority w:val="0"/>
    <w:rPr>
      <w:rFonts w:ascii="Arial" w:hAnsi="Arial" w:eastAsia="黑体" w:cs="Times New Roman"/>
      <w:b/>
      <w:bCs/>
      <w:sz w:val="32"/>
      <w:szCs w:val="32"/>
    </w:rPr>
  </w:style>
  <w:style w:type="character" w:customStyle="1" w:styleId="61">
    <w:name w:val="标题 3 字符"/>
    <w:link w:val="5"/>
    <w:qFormat/>
    <w:uiPriority w:val="99"/>
    <w:rPr>
      <w:rFonts w:ascii="Times New Roman" w:hAnsi="Times New Roman" w:eastAsia="宋体" w:cs="Times New Roman"/>
      <w:b/>
      <w:bCs/>
      <w:sz w:val="32"/>
      <w:szCs w:val="32"/>
    </w:rPr>
  </w:style>
  <w:style w:type="character" w:customStyle="1" w:styleId="62">
    <w:name w:val="标题 5 字符"/>
    <w:link w:val="7"/>
    <w:qFormat/>
    <w:uiPriority w:val="0"/>
    <w:rPr>
      <w:b/>
      <w:kern w:val="2"/>
      <w:sz w:val="28"/>
      <w:szCs w:val="24"/>
    </w:rPr>
  </w:style>
  <w:style w:type="character" w:customStyle="1" w:styleId="63">
    <w:name w:val="标题 6 字符"/>
    <w:link w:val="9"/>
    <w:qFormat/>
    <w:uiPriority w:val="0"/>
    <w:rPr>
      <w:rFonts w:ascii="Arial" w:hAnsi="Arial" w:eastAsia="黑体"/>
      <w:b/>
      <w:kern w:val="2"/>
      <w:sz w:val="24"/>
      <w:szCs w:val="24"/>
    </w:rPr>
  </w:style>
  <w:style w:type="character" w:customStyle="1" w:styleId="64">
    <w:name w:val="标题 7 字符"/>
    <w:link w:val="10"/>
    <w:qFormat/>
    <w:uiPriority w:val="0"/>
    <w:rPr>
      <w:rFonts w:ascii="Times New Roman" w:hAnsi="Times New Roman"/>
      <w:b/>
      <w:kern w:val="2"/>
      <w:sz w:val="24"/>
      <w:szCs w:val="24"/>
    </w:rPr>
  </w:style>
  <w:style w:type="character" w:customStyle="1" w:styleId="65">
    <w:name w:val="标题 8 字符"/>
    <w:link w:val="11"/>
    <w:qFormat/>
    <w:uiPriority w:val="0"/>
    <w:rPr>
      <w:rFonts w:ascii="Arial" w:hAnsi="Arial" w:eastAsia="黑体"/>
      <w:kern w:val="2"/>
      <w:sz w:val="24"/>
      <w:szCs w:val="24"/>
    </w:rPr>
  </w:style>
  <w:style w:type="character" w:customStyle="1" w:styleId="66">
    <w:name w:val="标题 9 字符"/>
    <w:link w:val="12"/>
    <w:autoRedefine/>
    <w:qFormat/>
    <w:uiPriority w:val="0"/>
    <w:rPr>
      <w:rFonts w:ascii="Arial" w:hAnsi="Arial" w:eastAsia="黑体"/>
      <w:kern w:val="2"/>
      <w:sz w:val="21"/>
      <w:szCs w:val="24"/>
    </w:rPr>
  </w:style>
  <w:style w:type="character" w:customStyle="1" w:styleId="67">
    <w:name w:val="文档结构图 字符"/>
    <w:link w:val="16"/>
    <w:autoRedefine/>
    <w:qFormat/>
    <w:uiPriority w:val="0"/>
    <w:rPr>
      <w:rFonts w:hint="eastAsia" w:ascii="宋体" w:hAnsi="宋体" w:eastAsia="宋体" w:cs="宋体"/>
    </w:rPr>
  </w:style>
  <w:style w:type="character" w:customStyle="1" w:styleId="68">
    <w:name w:val="批注文字 字符2"/>
    <w:link w:val="17"/>
    <w:autoRedefine/>
    <w:qFormat/>
    <w:uiPriority w:val="0"/>
    <w:rPr>
      <w:rFonts w:ascii="Times New Roman" w:hAnsi="Times New Roman"/>
      <w:kern w:val="2"/>
      <w:sz w:val="21"/>
      <w:szCs w:val="24"/>
    </w:rPr>
  </w:style>
  <w:style w:type="character" w:customStyle="1" w:styleId="69">
    <w:name w:val="正文文本 3 字符"/>
    <w:link w:val="18"/>
    <w:autoRedefine/>
    <w:qFormat/>
    <w:uiPriority w:val="0"/>
    <w:rPr>
      <w:rFonts w:ascii="Times New Roman" w:hAnsi="Times New Roman" w:eastAsia="宋体" w:cs="Times New Roman"/>
      <w:b/>
      <w:bCs/>
      <w:sz w:val="24"/>
      <w:szCs w:val="24"/>
    </w:rPr>
  </w:style>
  <w:style w:type="character" w:customStyle="1" w:styleId="70">
    <w:name w:val="正文文本 字符"/>
    <w:link w:val="19"/>
    <w:autoRedefine/>
    <w:qFormat/>
    <w:uiPriority w:val="99"/>
    <w:rPr>
      <w:rFonts w:ascii="Times New Roman" w:hAnsi="Times New Roman" w:eastAsia="宋体" w:cs="Times New Roman"/>
      <w:sz w:val="24"/>
      <w:szCs w:val="24"/>
    </w:rPr>
  </w:style>
  <w:style w:type="character" w:customStyle="1" w:styleId="71">
    <w:name w:val="正文文本缩进 字符1"/>
    <w:link w:val="20"/>
    <w:autoRedefine/>
    <w:qFormat/>
    <w:uiPriority w:val="0"/>
    <w:rPr>
      <w:rFonts w:ascii="仿宋_GB2312" w:hAnsi="Times New Roman" w:eastAsia="仿宋_GB2312" w:cs="Times New Roman"/>
      <w:sz w:val="32"/>
      <w:szCs w:val="20"/>
    </w:rPr>
  </w:style>
  <w:style w:type="character" w:customStyle="1" w:styleId="72">
    <w:name w:val="纯文本 字符2"/>
    <w:link w:val="26"/>
    <w:autoRedefine/>
    <w:qFormat/>
    <w:uiPriority w:val="0"/>
    <w:rPr>
      <w:rFonts w:ascii="宋体" w:hAnsi="Courier New" w:eastAsia="宋体" w:cs="Courier New"/>
      <w:szCs w:val="21"/>
    </w:rPr>
  </w:style>
  <w:style w:type="character" w:customStyle="1" w:styleId="73">
    <w:name w:val="日期 字符"/>
    <w:link w:val="28"/>
    <w:autoRedefine/>
    <w:qFormat/>
    <w:uiPriority w:val="0"/>
    <w:rPr>
      <w:rFonts w:ascii="宋体" w:hAnsi="Courier New" w:eastAsia="宋体" w:cs="Courier New"/>
      <w:szCs w:val="21"/>
    </w:rPr>
  </w:style>
  <w:style w:type="character" w:customStyle="1" w:styleId="74">
    <w:name w:val="正文文本缩进 2 字符"/>
    <w:link w:val="29"/>
    <w:autoRedefine/>
    <w:qFormat/>
    <w:uiPriority w:val="0"/>
    <w:rPr>
      <w:rFonts w:ascii="Times New Roman" w:hAnsi="Times New Roman" w:eastAsia="宋体" w:cs="Times New Roman"/>
      <w:sz w:val="32"/>
      <w:szCs w:val="20"/>
    </w:rPr>
  </w:style>
  <w:style w:type="character" w:customStyle="1" w:styleId="75">
    <w:name w:val="尾注文本 字符"/>
    <w:link w:val="30"/>
    <w:autoRedefine/>
    <w:qFormat/>
    <w:uiPriority w:val="99"/>
    <w:rPr>
      <w:rFonts w:ascii="Times New Roman" w:hAnsi="Times New Roman"/>
      <w:kern w:val="2"/>
      <w:sz w:val="21"/>
      <w:szCs w:val="24"/>
    </w:rPr>
  </w:style>
  <w:style w:type="character" w:customStyle="1" w:styleId="76">
    <w:name w:val="批注框文本 字符"/>
    <w:link w:val="31"/>
    <w:autoRedefine/>
    <w:qFormat/>
    <w:uiPriority w:val="0"/>
    <w:rPr>
      <w:rFonts w:ascii="Times New Roman" w:hAnsi="Times New Roman" w:eastAsia="宋体" w:cs="Times New Roman"/>
      <w:sz w:val="18"/>
      <w:szCs w:val="18"/>
    </w:rPr>
  </w:style>
  <w:style w:type="character" w:customStyle="1" w:styleId="77">
    <w:name w:val="页脚 字符1"/>
    <w:link w:val="32"/>
    <w:autoRedefine/>
    <w:qFormat/>
    <w:uiPriority w:val="99"/>
    <w:rPr>
      <w:sz w:val="18"/>
      <w:szCs w:val="18"/>
    </w:rPr>
  </w:style>
  <w:style w:type="character" w:customStyle="1" w:styleId="78">
    <w:name w:val="页眉 字符"/>
    <w:link w:val="33"/>
    <w:autoRedefine/>
    <w:qFormat/>
    <w:uiPriority w:val="99"/>
    <w:rPr>
      <w:rFonts w:ascii="Times New Roman" w:hAnsi="Times New Roman"/>
      <w:kern w:val="2"/>
      <w:sz w:val="18"/>
      <w:szCs w:val="18"/>
    </w:rPr>
  </w:style>
  <w:style w:type="character" w:customStyle="1" w:styleId="79">
    <w:name w:val="脚注文本 字符"/>
    <w:link w:val="37"/>
    <w:autoRedefine/>
    <w:qFormat/>
    <w:uiPriority w:val="99"/>
    <w:rPr>
      <w:rFonts w:ascii="Times New Roman" w:hAnsi="Times New Roman"/>
      <w:kern w:val="2"/>
      <w:sz w:val="18"/>
      <w:szCs w:val="18"/>
    </w:rPr>
  </w:style>
  <w:style w:type="character" w:customStyle="1" w:styleId="80">
    <w:name w:val="正文文本缩进 3 字符"/>
    <w:link w:val="39"/>
    <w:autoRedefine/>
    <w:qFormat/>
    <w:uiPriority w:val="0"/>
    <w:rPr>
      <w:rFonts w:ascii="Times New Roman" w:hAnsi="Times New Roman" w:eastAsia="宋体" w:cs="Times New Roman"/>
      <w:sz w:val="16"/>
      <w:szCs w:val="16"/>
    </w:rPr>
  </w:style>
  <w:style w:type="character" w:customStyle="1" w:styleId="81">
    <w:name w:val="正文文本 2 字符"/>
    <w:link w:val="42"/>
    <w:autoRedefine/>
    <w:qFormat/>
    <w:uiPriority w:val="0"/>
    <w:rPr>
      <w:rFonts w:ascii="Times New Roman" w:hAnsi="Times New Roman" w:eastAsia="宋体" w:cs="Times New Roman"/>
      <w:szCs w:val="24"/>
    </w:rPr>
  </w:style>
  <w:style w:type="character" w:customStyle="1" w:styleId="82">
    <w:name w:val="标题 字符"/>
    <w:link w:val="44"/>
    <w:autoRedefine/>
    <w:qFormat/>
    <w:uiPriority w:val="10"/>
    <w:rPr>
      <w:rFonts w:ascii="Cambria" w:hAnsi="Cambria" w:cs="Times New Roman"/>
      <w:b/>
      <w:bCs/>
      <w:kern w:val="2"/>
      <w:sz w:val="32"/>
      <w:szCs w:val="32"/>
    </w:rPr>
  </w:style>
  <w:style w:type="character" w:customStyle="1" w:styleId="83">
    <w:name w:val="批注主题 字符"/>
    <w:link w:val="45"/>
    <w:autoRedefine/>
    <w:qFormat/>
    <w:uiPriority w:val="99"/>
    <w:rPr>
      <w:rFonts w:ascii="Times New Roman" w:hAnsi="Times New Roman"/>
      <w:b/>
      <w:bCs/>
      <w:kern w:val="2"/>
      <w:sz w:val="21"/>
      <w:szCs w:val="24"/>
    </w:rPr>
  </w:style>
  <w:style w:type="character" w:customStyle="1" w:styleId="84">
    <w:name w:val="批注文字 Char1"/>
    <w:autoRedefine/>
    <w:qFormat/>
    <w:uiPriority w:val="0"/>
    <w:rPr>
      <w:rFonts w:ascii="Times New Roman" w:hAnsi="Times New Roman"/>
      <w:kern w:val="2"/>
      <w:sz w:val="21"/>
      <w:szCs w:val="24"/>
    </w:rPr>
  </w:style>
  <w:style w:type="character" w:customStyle="1" w:styleId="85">
    <w:name w:val="case31"/>
    <w:autoRedefine/>
    <w:qFormat/>
    <w:uiPriority w:val="0"/>
    <w:rPr>
      <w:rFonts w:hint="default" w:ascii="_x000B__x000C_" w:hAnsi="_x000B__x000C_"/>
      <w:sz w:val="21"/>
      <w:szCs w:val="21"/>
    </w:rPr>
  </w:style>
  <w:style w:type="character" w:customStyle="1" w:styleId="86">
    <w:name w:val="批注文字 Char"/>
    <w:autoRedefine/>
    <w:qFormat/>
    <w:uiPriority w:val="0"/>
    <w:rPr>
      <w:rFonts w:ascii="Times New Roman" w:hAnsi="Times New Roman"/>
      <w:kern w:val="2"/>
      <w:sz w:val="21"/>
      <w:szCs w:val="24"/>
    </w:rPr>
  </w:style>
  <w:style w:type="character" w:customStyle="1" w:styleId="87">
    <w:name w:val="纯文本 Char"/>
    <w:autoRedefine/>
    <w:qFormat/>
    <w:uiPriority w:val="0"/>
    <w:rPr>
      <w:rFonts w:ascii="宋体" w:hAnsi="Courier New" w:eastAsia="宋体"/>
      <w:kern w:val="2"/>
      <w:sz w:val="21"/>
      <w:lang w:val="en-US" w:eastAsia="zh-CN" w:bidi="ar-SA"/>
    </w:rPr>
  </w:style>
  <w:style w:type="character" w:customStyle="1" w:styleId="88">
    <w:name w:val="纯文本 字符1"/>
    <w:autoRedefine/>
    <w:qFormat/>
    <w:uiPriority w:val="0"/>
    <w:rPr>
      <w:rFonts w:ascii="宋体" w:hAnsi="Courier New"/>
    </w:rPr>
  </w:style>
  <w:style w:type="character" w:customStyle="1" w:styleId="89">
    <w:name w:val="批注文字 字符1"/>
    <w:autoRedefine/>
    <w:qFormat/>
    <w:uiPriority w:val="0"/>
    <w:rPr>
      <w:rFonts w:ascii="Times New Roman" w:hAnsi="Times New Roman"/>
      <w:kern w:val="2"/>
      <w:sz w:val="21"/>
      <w:szCs w:val="24"/>
    </w:rPr>
  </w:style>
  <w:style w:type="character" w:customStyle="1" w:styleId="90">
    <w:name w:val="正文文本 Char1"/>
    <w:autoRedefine/>
    <w:qFormat/>
    <w:uiPriority w:val="99"/>
    <w:rPr>
      <w:sz w:val="24"/>
      <w:szCs w:val="24"/>
    </w:rPr>
  </w:style>
  <w:style w:type="character" w:customStyle="1" w:styleId="91">
    <w:name w:val="apple-style-span"/>
    <w:autoRedefine/>
    <w:qFormat/>
    <w:uiPriority w:val="0"/>
  </w:style>
  <w:style w:type="character" w:customStyle="1" w:styleId="92">
    <w:name w:val="textcontents"/>
    <w:autoRedefine/>
    <w:qFormat/>
    <w:uiPriority w:val="0"/>
  </w:style>
  <w:style w:type="character" w:customStyle="1" w:styleId="93">
    <w:name w:val="普通文字 Char Char2"/>
    <w:autoRedefine/>
    <w:qFormat/>
    <w:uiPriority w:val="0"/>
    <w:rPr>
      <w:rFonts w:ascii="宋体" w:hAnsi="Courier New" w:eastAsia="宋体"/>
      <w:kern w:val="2"/>
      <w:sz w:val="21"/>
      <w:lang w:val="en-US" w:eastAsia="zh-CN" w:bidi="ar-SA"/>
    </w:rPr>
  </w:style>
  <w:style w:type="character" w:customStyle="1" w:styleId="94">
    <w:name w:val="标题 5 Char"/>
    <w:autoRedefine/>
    <w:qFormat/>
    <w:uiPriority w:val="0"/>
    <w:rPr>
      <w:b/>
      <w:kern w:val="2"/>
      <w:sz w:val="28"/>
      <w:szCs w:val="24"/>
    </w:rPr>
  </w:style>
  <w:style w:type="character" w:customStyle="1" w:styleId="95">
    <w:name w:val="批注文字 字符"/>
    <w:autoRedefine/>
    <w:qFormat/>
    <w:uiPriority w:val="0"/>
    <w:rPr>
      <w:rFonts w:ascii="Times New Roman" w:hAnsi="Times New Roman"/>
      <w:kern w:val="2"/>
      <w:sz w:val="21"/>
      <w:szCs w:val="24"/>
    </w:rPr>
  </w:style>
  <w:style w:type="character" w:customStyle="1" w:styleId="96">
    <w:name w:val="标题 1 字符"/>
    <w:autoRedefine/>
    <w:qFormat/>
    <w:uiPriority w:val="9"/>
    <w:rPr>
      <w:rFonts w:ascii="Times New Roman" w:hAnsi="Times New Roman" w:eastAsia="宋体" w:cs="Times New Roman"/>
      <w:b/>
      <w:bCs/>
      <w:kern w:val="44"/>
      <w:sz w:val="44"/>
      <w:szCs w:val="44"/>
    </w:rPr>
  </w:style>
  <w:style w:type="character" w:customStyle="1" w:styleId="97">
    <w:name w:val="纯文本 字符"/>
    <w:autoRedefine/>
    <w:qFormat/>
    <w:uiPriority w:val="0"/>
    <w:rPr>
      <w:rFonts w:ascii="宋体" w:hAnsi="Courier New" w:eastAsia="宋体" w:cs="Courier New"/>
      <w:szCs w:val="21"/>
    </w:rPr>
  </w:style>
  <w:style w:type="character" w:customStyle="1" w:styleId="98">
    <w:name w:val="headline-content4"/>
    <w:autoRedefine/>
    <w:qFormat/>
    <w:uiPriority w:val="0"/>
  </w:style>
  <w:style w:type="character" w:customStyle="1" w:styleId="99">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100">
    <w:name w:val="正文文本缩进 字符"/>
    <w:autoRedefine/>
    <w:qFormat/>
    <w:uiPriority w:val="0"/>
    <w:rPr>
      <w:rFonts w:ascii="仿宋_GB2312" w:hAnsi="Times New Roman" w:eastAsia="仿宋_GB2312" w:cs="Times New Roman"/>
      <w:sz w:val="32"/>
      <w:szCs w:val="20"/>
    </w:rPr>
  </w:style>
  <w:style w:type="paragraph" w:customStyle="1" w:styleId="101">
    <w:name w:val="Char1"/>
    <w:basedOn w:val="1"/>
    <w:autoRedefine/>
    <w:qFormat/>
    <w:uiPriority w:val="0"/>
    <w:rPr>
      <w:szCs w:val="21"/>
    </w:rPr>
  </w:style>
  <w:style w:type="paragraph" w:styleId="102">
    <w:name w:val="List Paragraph"/>
    <w:basedOn w:val="1"/>
    <w:autoRedefine/>
    <w:qFormat/>
    <w:uiPriority w:val="34"/>
    <w:pPr>
      <w:ind w:firstLine="420" w:firstLineChars="200"/>
    </w:pPr>
  </w:style>
  <w:style w:type="paragraph" w:customStyle="1" w:styleId="103">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04">
    <w:name w:val="默认段落字体 Para Char Char Char Char Char Char Char Char Char1 Char Char Char Char"/>
    <w:basedOn w:val="1"/>
    <w:autoRedefine/>
    <w:qFormat/>
    <w:uiPriority w:val="0"/>
    <w:rPr>
      <w:rFonts w:ascii="Tahoma" w:hAnsi="Tahoma"/>
      <w:sz w:val="24"/>
      <w:szCs w:val="20"/>
    </w:rPr>
  </w:style>
  <w:style w:type="paragraph" w:customStyle="1" w:styleId="105">
    <w:name w:val="样式"/>
    <w:autoRedefine/>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06">
    <w:name w:val="纯文本1"/>
    <w:basedOn w:val="1"/>
    <w:next w:val="1"/>
    <w:autoRedefine/>
    <w:qFormat/>
    <w:uiPriority w:val="0"/>
    <w:rPr>
      <w:rFonts w:ascii="宋体" w:hAnsi="Courier New" w:cs="Century"/>
      <w:szCs w:val="21"/>
    </w:rPr>
  </w:style>
  <w:style w:type="paragraph" w:customStyle="1" w:styleId="107">
    <w:name w:val="Table Paragraph"/>
    <w:basedOn w:val="1"/>
    <w:autoRedefine/>
    <w:qFormat/>
    <w:uiPriority w:val="1"/>
    <w:pPr>
      <w:jc w:val="left"/>
    </w:pPr>
    <w:rPr>
      <w:rFonts w:ascii="Calibri" w:hAnsi="Calibri"/>
      <w:kern w:val="0"/>
      <w:sz w:val="22"/>
      <w:szCs w:val="22"/>
      <w:lang w:eastAsia="en-US"/>
    </w:rPr>
  </w:style>
  <w:style w:type="paragraph" w:customStyle="1" w:styleId="108">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customStyle="1" w:styleId="109">
    <w:name w:val="表格"/>
    <w:basedOn w:val="1"/>
    <w:autoRedefine/>
    <w:qFormat/>
    <w:uiPriority w:val="0"/>
    <w:pPr>
      <w:spacing w:line="400" w:lineRule="exact"/>
    </w:pPr>
    <w:rPr>
      <w:sz w:val="24"/>
    </w:rPr>
  </w:style>
  <w:style w:type="paragraph" w:customStyle="1" w:styleId="110">
    <w:name w:val="样式 首行缩进:  2 字符"/>
    <w:basedOn w:val="1"/>
    <w:autoRedefine/>
    <w:qFormat/>
    <w:uiPriority w:val="0"/>
    <w:pPr>
      <w:spacing w:line="400" w:lineRule="exact"/>
      <w:ind w:firstLine="200" w:firstLineChars="200"/>
    </w:pPr>
    <w:rPr>
      <w:rFonts w:cs="宋体"/>
      <w:sz w:val="24"/>
    </w:rPr>
  </w:style>
  <w:style w:type="paragraph" w:customStyle="1" w:styleId="111">
    <w:name w:val="xl22"/>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12">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13">
    <w:name w:val="正文首行缩进两字符"/>
    <w:basedOn w:val="1"/>
    <w:autoRedefine/>
    <w:qFormat/>
    <w:uiPriority w:val="0"/>
    <w:pPr>
      <w:spacing w:line="360" w:lineRule="auto"/>
      <w:ind w:firstLine="200" w:firstLineChars="200"/>
    </w:pPr>
  </w:style>
  <w:style w:type="paragraph" w:customStyle="1" w:styleId="114">
    <w:name w:val="正文段"/>
    <w:basedOn w:val="1"/>
    <w:autoRedefine/>
    <w:qFormat/>
    <w:uiPriority w:val="0"/>
    <w:pPr>
      <w:widowControl/>
      <w:snapToGrid w:val="0"/>
      <w:spacing w:after="50" w:afterLines="50"/>
      <w:ind w:firstLine="200" w:firstLineChars="200"/>
    </w:pPr>
    <w:rPr>
      <w:kern w:val="0"/>
      <w:sz w:val="24"/>
      <w:szCs w:val="20"/>
    </w:rPr>
  </w:style>
  <w:style w:type="table" w:customStyle="1" w:styleId="115">
    <w:name w:val="Table Normal"/>
    <w:autoRedefine/>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116">
    <w:name w:val="页脚 字符"/>
    <w:autoRedefine/>
    <w:qFormat/>
    <w:uiPriority w:val="99"/>
  </w:style>
  <w:style w:type="paragraph" w:customStyle="1" w:styleId="117">
    <w:name w:val="p0"/>
    <w:basedOn w:val="1"/>
    <w:autoRedefine/>
    <w:qFormat/>
    <w:uiPriority w:val="99"/>
    <w:pPr>
      <w:widowControl/>
      <w:spacing w:before="100" w:beforeAutospacing="1" w:after="100" w:afterAutospacing="1"/>
      <w:jc w:val="left"/>
    </w:pPr>
    <w:rPr>
      <w:rFonts w:ascii="宋体" w:hAnsi="宋体" w:cs="宋体"/>
      <w:kern w:val="0"/>
      <w:sz w:val="24"/>
    </w:rPr>
  </w:style>
  <w:style w:type="character" w:customStyle="1" w:styleId="118">
    <w:name w:val="批注文字 Char2"/>
    <w:autoRedefine/>
    <w:qFormat/>
    <w:uiPriority w:val="0"/>
    <w:rPr>
      <w:rFonts w:ascii="Times New Roman" w:hAnsi="Times New Roman"/>
      <w:kern w:val="2"/>
      <w:sz w:val="21"/>
      <w:szCs w:val="24"/>
    </w:rPr>
  </w:style>
  <w:style w:type="paragraph" w:customStyle="1" w:styleId="11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20">
    <w:name w:val="NormalCharacter"/>
    <w:autoRedefine/>
    <w:qFormat/>
    <w:uiPriority w:val="0"/>
  </w:style>
  <w:style w:type="paragraph" w:customStyle="1" w:styleId="121">
    <w:name w:val="正文2"/>
    <w:basedOn w:val="1"/>
    <w:autoRedefine/>
    <w:qFormat/>
    <w:uiPriority w:val="0"/>
    <w:pPr>
      <w:adjustRightInd w:val="0"/>
      <w:spacing w:before="156" w:line="360" w:lineRule="auto"/>
      <w:ind w:firstLine="510" w:firstLineChars="200"/>
    </w:pPr>
    <w:rPr>
      <w:sz w:val="24"/>
      <w:szCs w:val="20"/>
    </w:rPr>
  </w:style>
  <w:style w:type="paragraph" w:customStyle="1" w:styleId="122">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123">
    <w:name w:val="表 靠左"/>
    <w:basedOn w:val="1"/>
    <w:autoRedefine/>
    <w:qFormat/>
    <w:uiPriority w:val="0"/>
    <w:rPr>
      <w:rFonts w:ascii="宋体" w:hAnsi="宋体"/>
    </w:rPr>
  </w:style>
  <w:style w:type="paragraph" w:customStyle="1" w:styleId="124">
    <w:name w:val="Char Char Char3"/>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25">
    <w:name w:val="_Style 122"/>
    <w:autoRedefine/>
    <w:qFormat/>
    <w:uiPriority w:val="99"/>
    <w:rPr>
      <w:rFonts w:ascii="Times New Roman" w:hAnsi="Times New Roman" w:eastAsia="宋体" w:cs="Times New Roman"/>
      <w:kern w:val="2"/>
      <w:sz w:val="21"/>
      <w:szCs w:val="24"/>
      <w:lang w:val="en-US" w:eastAsia="zh-CN" w:bidi="ar-SA"/>
    </w:rPr>
  </w:style>
  <w:style w:type="paragraph" w:customStyle="1" w:styleId="126">
    <w:name w:val="表格文字"/>
    <w:basedOn w:val="20"/>
    <w:next w:val="19"/>
    <w:autoRedefine/>
    <w:qFormat/>
    <w:uiPriority w:val="0"/>
    <w:pPr>
      <w:adjustRightInd w:val="0"/>
      <w:spacing w:line="420" w:lineRule="atLeast"/>
      <w:jc w:val="left"/>
      <w:textAlignment w:val="baseline"/>
    </w:pPr>
  </w:style>
  <w:style w:type="character" w:customStyle="1" w:styleId="127">
    <w:name w:val="15"/>
    <w:basedOn w:val="50"/>
    <w:autoRedefine/>
    <w:qFormat/>
    <w:uiPriority w:val="0"/>
    <w:rPr>
      <w:rFonts w:hint="default" w:ascii="Times New Roman" w:hAnsi="Times New Roman" w:cs="Times New Roman"/>
    </w:rPr>
  </w:style>
  <w:style w:type="character" w:customStyle="1" w:styleId="128">
    <w:name w:val="16"/>
    <w:basedOn w:val="50"/>
    <w:autoRedefine/>
    <w:qFormat/>
    <w:uiPriority w:val="0"/>
    <w:rPr>
      <w:rFonts w:hint="default" w:ascii="Times New Roman" w:hAnsi="Times New Roman" w:cs="Times New Roman"/>
      <w:color w:val="000000"/>
      <w:sz w:val="21"/>
      <w:szCs w:val="21"/>
    </w:rPr>
  </w:style>
  <w:style w:type="character" w:customStyle="1" w:styleId="129">
    <w:name w:val="font11"/>
    <w:basedOn w:val="50"/>
    <w:autoRedefine/>
    <w:qFormat/>
    <w:uiPriority w:val="0"/>
    <w:rPr>
      <w:rFonts w:hint="eastAsia" w:ascii="宋体" w:hAnsi="宋体" w:eastAsia="宋体" w:cs="宋体"/>
      <w:color w:val="000000"/>
      <w:sz w:val="21"/>
      <w:szCs w:val="21"/>
      <w:u w:val="none"/>
    </w:rPr>
  </w:style>
  <w:style w:type="paragraph" w:customStyle="1" w:styleId="130">
    <w:name w:val="样式1"/>
    <w:basedOn w:val="1"/>
    <w:autoRedefine/>
    <w:qFormat/>
    <w:uiPriority w:val="0"/>
    <w:pPr>
      <w:spacing w:line="540" w:lineRule="exact"/>
      <w:jc w:val="center"/>
    </w:pPr>
    <w:rPr>
      <w:rFonts w:ascii="微软雅黑" w:hAnsi="微软雅黑" w:eastAsia="微软雅黑" w:cs="微软雅黑"/>
      <w:sz w:val="44"/>
      <w:szCs w:val="44"/>
    </w:rPr>
  </w:style>
  <w:style w:type="character" w:customStyle="1" w:styleId="131">
    <w:name w:val="标题 2 字符1"/>
    <w:link w:val="4"/>
    <w:autoRedefine/>
    <w:qFormat/>
    <w:uiPriority w:val="0"/>
    <w:rPr>
      <w:rFonts w:ascii="Cambria" w:hAnsi="Cambria" w:eastAsia="黑体" w:cs="Times New Roman"/>
      <w:b/>
      <w:bCs/>
      <w:szCs w:val="32"/>
    </w:rPr>
  </w:style>
  <w:style w:type="paragraph" w:customStyle="1" w:styleId="132">
    <w:name w:val="Revision"/>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133">
    <w:name w:val="p15"/>
    <w:basedOn w:val="1"/>
    <w:qFormat/>
    <w:uiPriority w:val="99"/>
    <w:pPr>
      <w:widowControl/>
    </w:pPr>
    <w:rPr>
      <w:rFonts w:ascii="宋体" w:hAnsi="宋体"/>
      <w:kern w:val="0"/>
      <w:szCs w:val="21"/>
    </w:rPr>
  </w:style>
  <w:style w:type="character" w:customStyle="1" w:styleId="134">
    <w:name w:val="font41"/>
    <w:qFormat/>
    <w:uiPriority w:val="0"/>
    <w:rPr>
      <w:rFonts w:hint="eastAsia" w:ascii="宋体" w:hAnsi="宋体" w:eastAsia="宋体" w:cs="宋体"/>
      <w:color w:val="000000"/>
      <w:sz w:val="21"/>
      <w:szCs w:val="21"/>
      <w:u w:val="none"/>
    </w:rPr>
  </w:style>
  <w:style w:type="paragraph" w:customStyle="1" w:styleId="135">
    <w:name w:val="Table Text"/>
    <w:autoRedefine/>
    <w:semiHidden/>
    <w:qFormat/>
    <w:uiPriority w:val="0"/>
    <w:pPr>
      <w:widowControl w:val="0"/>
      <w:jc w:val="both"/>
    </w:pPr>
    <w:rPr>
      <w:rFonts w:ascii="楷体" w:hAnsi="楷体" w:eastAsia="楷体" w:cs="楷体"/>
      <w:kern w:val="2"/>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94</Pages>
  <Words>7915</Words>
  <Characters>8739</Characters>
  <Lines>516</Lines>
  <Paragraphs>145</Paragraphs>
  <TotalTime>8</TotalTime>
  <ScaleCrop>false</ScaleCrop>
  <LinksUpToDate>false</LinksUpToDate>
  <CharactersWithSpaces>8825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2023-05-14T00:17:00Z</dcterms:created>
  <dc:creator>番茄花园</dc:creator>
  <cp:lastModifiedBy>NTKO</cp:lastModifiedBy>
  <cp:lastPrinted>2026-07-09T01:51:00Z</cp:lastPrinted>
  <dcterms:modified xsi:type="dcterms:W3CDTF">2026-07-10T02:07:41Z</dcterms:modified>
  <dc:title>公开招标采购文件范本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CD2EB0505D2348FCA426CEE4CBF79788_13</vt:lpwstr>
  </property>
  <property fmtid="{D5CDD505-2E9C-101B-9397-08002B2CF9AE}" pid="4" name="KSOTemplateDocerSaveRecord">
    <vt:lpwstr>eyJoZGlkIjoiZTQwYjM3NjNlYTZlYzhjM2M3YzBmNGZkNWQ4NWNlMzEiLCJ1c2VySWQiOiI5OTkyMjg5MDMifQ==</vt:lpwstr>
  </property>
</Properties>
</file>